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xmlns:xml="http://www.w3.org/XML/1998/namespace" mc:Ignorable="co w14 x14 w15">
  <w:body>
    <w:p w14:paraId="01000000">
      <w:pPr>
        <w:ind/>
        <w:jc w:val="center"/>
        <w:rPr>
          <w:b w:val="1"/>
          <w:sz w:val="26"/>
        </w:rPr>
      </w:pPr>
    </w:p>
    <w:p w14:paraId="02000000">
      <w:pPr>
        <w:ind/>
        <w:jc w:val="center"/>
        <w:rPr>
          <w:rFonts w:ascii="PT Astra Serif" w:hAnsi="PT Astra Serif"/>
          <w:b w:val="1"/>
          <w:sz w:val="26"/>
        </w:rPr>
      </w:pPr>
      <w:r>
        <w:rPr>
          <w:rFonts w:ascii="PT Astra Serif" w:hAnsi="PT Astra Serif"/>
          <w:b w:val="1"/>
          <w:sz w:val="26"/>
        </w:rPr>
        <w:t xml:space="preserve">Результаты рассмотрения заявок аукциона от </w:t>
      </w:r>
      <w:r>
        <w:rPr>
          <w:rFonts w:ascii="PT Astra Serif" w:hAnsi="PT Astra Serif"/>
          <w:b w:val="1"/>
          <w:sz w:val="26"/>
        </w:rPr>
        <w:t>24 декабря</w:t>
      </w:r>
      <w:r>
        <w:rPr>
          <w:rFonts w:ascii="PT Astra Serif" w:hAnsi="PT Astra Serif"/>
          <w:b w:val="1"/>
          <w:sz w:val="26"/>
        </w:rPr>
        <w:t xml:space="preserve"> 2019</w:t>
      </w:r>
      <w:r>
        <w:rPr>
          <w:rFonts w:ascii="PT Astra Serif" w:hAnsi="PT Astra Serif"/>
          <w:b w:val="1"/>
          <w:sz w:val="26"/>
        </w:rPr>
        <w:t xml:space="preserve"> года</w:t>
      </w:r>
    </w:p>
    <w:p w14:paraId="03000000">
      <w:pPr>
        <w:ind/>
        <w:jc w:val="center"/>
        <w:rPr>
          <w:rFonts w:ascii="PT Astra Serif" w:hAnsi="PT Astra Serif"/>
          <w:b w:val="1"/>
          <w:sz w:val="26"/>
        </w:rPr>
      </w:pPr>
    </w:p>
    <w:p w14:paraId="04000000">
      <w:pPr>
        <w:ind w:firstLine="708" w:left="0"/>
        <w:jc w:val="both"/>
        <w:rPr>
          <w:rFonts w:ascii="PT Astra Serif" w:hAnsi="PT Astra Serif"/>
          <w:sz w:val="26"/>
        </w:rPr>
      </w:pPr>
      <w:r>
        <w:rPr>
          <w:rFonts w:ascii="PT Astra Serif" w:hAnsi="PT Astra Serif"/>
          <w:sz w:val="26"/>
        </w:rPr>
        <w:t xml:space="preserve">Комитет по управлению имуществом Курской области сообщает о результатах рассмотрения заявок и определения участников аукциона </w:t>
      </w:r>
      <w:r>
        <w:rPr>
          <w:rFonts w:ascii="PT Astra Serif" w:hAnsi="PT Astra Serif"/>
          <w:sz w:val="26"/>
        </w:rPr>
        <w:t>на</w:t>
      </w:r>
      <w:r>
        <w:rPr>
          <w:rFonts w:ascii="PT Astra Serif" w:hAnsi="PT Astra Serif"/>
          <w:sz w:val="26"/>
        </w:rPr>
        <w:t xml:space="preserve"> прав</w:t>
      </w:r>
      <w:r>
        <w:rPr>
          <w:rFonts w:ascii="PT Astra Serif" w:hAnsi="PT Astra Serif"/>
          <w:sz w:val="26"/>
        </w:rPr>
        <w:t>о</w:t>
      </w:r>
      <w:r>
        <w:rPr>
          <w:rFonts w:ascii="PT Astra Serif" w:hAnsi="PT Astra Serif"/>
          <w:sz w:val="26"/>
        </w:rPr>
        <w:t xml:space="preserve"> заключени</w:t>
      </w:r>
      <w:r>
        <w:rPr>
          <w:rFonts w:ascii="PT Astra Serif" w:hAnsi="PT Astra Serif"/>
          <w:sz w:val="26"/>
        </w:rPr>
        <w:t>я</w:t>
      </w:r>
      <w:r>
        <w:rPr>
          <w:rFonts w:ascii="PT Astra Serif" w:hAnsi="PT Astra Serif"/>
          <w:sz w:val="26"/>
        </w:rPr>
        <w:t xml:space="preserve"> договоров аренды земельных участков, назначенного на </w:t>
      </w:r>
      <w:r>
        <w:rPr>
          <w:rFonts w:ascii="PT Astra Serif" w:hAnsi="PT Astra Serif"/>
          <w:sz w:val="26"/>
        </w:rPr>
        <w:t>24 декабря</w:t>
      </w:r>
      <w:r>
        <w:rPr>
          <w:rFonts w:ascii="PT Astra Serif" w:hAnsi="PT Astra Serif"/>
          <w:sz w:val="26"/>
        </w:rPr>
        <w:t xml:space="preserve"> 2019</w:t>
      </w:r>
      <w:r>
        <w:rPr>
          <w:rFonts w:ascii="PT Astra Serif" w:hAnsi="PT Astra Serif"/>
          <w:sz w:val="26"/>
        </w:rPr>
        <w:t xml:space="preserve"> года в соответствии с решениями комитета по управл</w:t>
      </w:r>
      <w:r>
        <w:rPr>
          <w:rFonts w:ascii="PT Astra Serif" w:hAnsi="PT Astra Serif"/>
          <w:sz w:val="26"/>
        </w:rPr>
        <w:t>ению имуществом Курской области</w:t>
      </w:r>
      <w:r>
        <w:rPr>
          <w:rFonts w:ascii="PT Astra Serif" w:hAnsi="PT Astra Serif"/>
          <w:sz w:val="26"/>
        </w:rPr>
        <w:t xml:space="preserve"> </w:t>
      </w:r>
      <w:r>
        <w:rPr>
          <w:rFonts w:ascii="PT Astra Serif" w:hAnsi="PT Astra Serif"/>
          <w:sz w:val="26"/>
        </w:rPr>
        <w:t>от 20.11.2019 01-18/1257, №01-18/1258, №01-18/1259,                    №01-18/1260, №01-18/1261</w:t>
      </w:r>
      <w:r>
        <w:rPr>
          <w:rFonts w:ascii="PT Astra Serif" w:hAnsi="PT Astra Serif"/>
          <w:sz w:val="26"/>
        </w:rPr>
        <w:t>.</w:t>
      </w:r>
    </w:p>
    <w:p w14:paraId="05000000">
      <w:pPr>
        <w:ind w:firstLine="567" w:left="0"/>
        <w:jc w:val="both"/>
        <w:rPr>
          <w:rFonts w:ascii="PT Astra Serif" w:hAnsi="PT Astra Serif"/>
          <w:sz w:val="26"/>
        </w:rPr>
      </w:pPr>
      <w:r>
        <w:rPr>
          <w:rFonts w:ascii="PT Astra Serif" w:hAnsi="PT Astra Serif"/>
          <w:b w:val="1"/>
          <w:sz w:val="26"/>
        </w:rPr>
        <w:t>Лот № 1</w:t>
      </w:r>
      <w:r>
        <w:rPr>
          <w:rFonts w:ascii="PT Astra Serif" w:hAnsi="PT Astra Serif"/>
          <w:sz w:val="26"/>
        </w:rPr>
        <w:t xml:space="preserve"> – </w:t>
      </w:r>
      <w:r>
        <w:rPr>
          <w:rFonts w:ascii="PT Astra Serif" w:hAnsi="PT Astra Serif"/>
          <w:sz w:val="26"/>
        </w:rPr>
        <w:t xml:space="preserve">право на заключение договора аренды земельного участка </w:t>
      </w:r>
      <w:r>
        <w:rPr>
          <w:rFonts w:ascii="PT Astra Serif" w:hAnsi="PT Astra Serif"/>
          <w:sz w:val="26"/>
        </w:rPr>
        <w:t xml:space="preserve">с кадастровым номером </w:t>
      </w:r>
      <w:r>
        <w:rPr>
          <w:rFonts w:ascii="PT Astra Serif" w:hAnsi="PT Astra Serif"/>
          <w:sz w:val="26"/>
        </w:rPr>
        <w:t xml:space="preserve">46:29:102285:2197, площадью 536 кв.м., из категории земель населенных пунктов, расположенного по адресу: Курская обл., г. Курск,                        ул. Дзержинского, с видом разрешенного использования земельного участка – «деловое управление». </w:t>
      </w:r>
    </w:p>
    <w:p w14:paraId="06000000">
      <w:pPr>
        <w:ind w:firstLine="567" w:left="0"/>
        <w:jc w:val="both"/>
        <w:rPr>
          <w:rFonts w:ascii="PT Astra Serif" w:hAnsi="PT Astra Serif"/>
          <w:sz w:val="26"/>
        </w:rPr>
      </w:pPr>
      <w:r>
        <w:rPr>
          <w:rFonts w:ascii="PT Astra Serif" w:hAnsi="PT Astra Serif"/>
          <w:sz w:val="26"/>
        </w:rPr>
        <w:t xml:space="preserve">В соответствии </w:t>
      </w:r>
      <w:r>
        <w:rPr>
          <w:rFonts w:ascii="PT Astra Serif" w:hAnsi="PT Astra Serif"/>
          <w:sz w:val="26"/>
        </w:rPr>
        <w:t xml:space="preserve">с протоколом о рассмотрении заявок и определения участников аукциона на право заключения договора аренды земельного участка от 20.12.2019 допущены к участию в аукционе и признаны участниками аукциона </w:t>
      </w:r>
      <w:r>
        <w:rPr>
          <w:rFonts w:ascii="PT Astra Serif" w:hAnsi="PT Astra Serif"/>
          <w:sz w:val="26"/>
        </w:rPr>
        <w:t>ООО "Интеграл-Плюс", Кашолкин Олег Алексеевич, Меркулов Роман Николаевич.</w:t>
      </w:r>
    </w:p>
    <w:p w14:paraId="07000000">
      <w:pPr>
        <w:ind w:firstLine="567" w:left="0"/>
        <w:jc w:val="both"/>
        <w:rPr>
          <w:rFonts w:ascii="PT Astra Serif" w:hAnsi="PT Astra Serif"/>
          <w:sz w:val="26"/>
        </w:rPr>
      </w:pPr>
      <w:r>
        <w:rPr>
          <w:rFonts w:ascii="PT Astra Serif" w:hAnsi="PT Astra Serif"/>
          <w:b w:val="1"/>
          <w:sz w:val="26"/>
        </w:rPr>
        <w:t xml:space="preserve">Лот № </w:t>
      </w:r>
      <w:r>
        <w:rPr>
          <w:rFonts w:ascii="PT Astra Serif" w:hAnsi="PT Astra Serif"/>
          <w:b w:val="1"/>
          <w:sz w:val="26"/>
        </w:rPr>
        <w:t>2</w:t>
      </w:r>
      <w:r>
        <w:rPr>
          <w:rFonts w:ascii="PT Astra Serif" w:hAnsi="PT Astra Serif"/>
          <w:sz w:val="26"/>
        </w:rPr>
        <w:t xml:space="preserve"> – </w:t>
      </w:r>
      <w:r>
        <w:rPr>
          <w:rFonts w:ascii="PT Astra Serif" w:hAnsi="PT Astra Serif"/>
          <w:sz w:val="26"/>
        </w:rPr>
        <w:t xml:space="preserve">право на заключение договора аренды земельного участка </w:t>
      </w:r>
      <w:r>
        <w:rPr>
          <w:rFonts w:ascii="PT Astra Serif" w:hAnsi="PT Astra Serif"/>
          <w:sz w:val="26"/>
        </w:rPr>
        <w:t xml:space="preserve">с кадастровым номером </w:t>
      </w:r>
      <w:r>
        <w:rPr>
          <w:rFonts w:ascii="PT Astra Serif" w:hAnsi="PT Astra Serif"/>
          <w:sz w:val="26"/>
        </w:rPr>
        <w:t xml:space="preserve">46:29:101053:8, площадью 4 593 кв.м., из категории земель населенных пунктов, расположенного по адресу: Курская обл., г. Курск,                    ул. 2-я Рабочая, для целей, не связанных со строительством, с видом разрешенного использования земельного участка – «для организации стоянки легкового автомобильного транспорта». </w:t>
      </w:r>
    </w:p>
    <w:p w14:paraId="08000000">
      <w:pPr>
        <w:ind w:firstLine="567" w:left="0"/>
        <w:jc w:val="both"/>
        <w:rPr>
          <w:rFonts w:ascii="PT Astra Serif" w:hAnsi="PT Astra Serif"/>
          <w:sz w:val="26"/>
        </w:rPr>
      </w:pPr>
      <w:r>
        <w:rPr>
          <w:rFonts w:ascii="PT Astra Serif" w:hAnsi="PT Astra Serif"/>
          <w:sz w:val="26"/>
        </w:rPr>
        <w:t xml:space="preserve">В соответствии </w:t>
      </w:r>
      <w:r>
        <w:rPr>
          <w:rFonts w:ascii="PT Astra Serif" w:hAnsi="PT Astra Serif"/>
          <w:sz w:val="26"/>
        </w:rPr>
        <w:t>с протоколом о рассмотрении заявок и определения участников аукциона на право заключения договора аренды земельного участка от 20.12.2019</w:t>
      </w:r>
      <w:r>
        <w:rPr>
          <w:rFonts w:ascii="PT Astra Serif" w:hAnsi="PT Astra Serif"/>
          <w:sz w:val="26"/>
        </w:rPr>
        <w:t xml:space="preserve">, п. 14 ст. 39.12 Земельного кодекса Российской Федерации аукцион по Лоту № 2 признан несостоявшимся </w:t>
      </w:r>
      <w:r>
        <w:rPr>
          <w:rFonts w:ascii="Times New Roman" w:hAnsi="Times New Roman"/>
          <w:b w:val="0"/>
          <w:sz w:val="26"/>
        </w:rPr>
        <w:t xml:space="preserve"> в связи с подачей одной заявк</w:t>
      </w:r>
      <w:r>
        <w:rPr>
          <w:rFonts w:ascii="Times New Roman" w:hAnsi="Times New Roman"/>
          <w:b w:val="0"/>
          <w:sz w:val="26"/>
        </w:rPr>
        <w:t>и на участие в аукционе.</w:t>
      </w:r>
    </w:p>
    <w:p w14:paraId="09000000">
      <w:pPr>
        <w:ind w:firstLine="567" w:left="0"/>
        <w:jc w:val="both"/>
        <w:rPr>
          <w:rFonts w:ascii="PT Astra Serif" w:hAnsi="PT Astra Serif"/>
          <w:sz w:val="26"/>
        </w:rPr>
      </w:pPr>
      <w:r>
        <w:rPr>
          <w:rFonts w:ascii="PT Astra Serif" w:hAnsi="PT Astra Serif"/>
          <w:b w:val="1"/>
          <w:sz w:val="26"/>
        </w:rPr>
        <w:t>Лот № 3</w:t>
      </w:r>
      <w:r>
        <w:rPr>
          <w:rFonts w:ascii="PT Astra Serif" w:hAnsi="PT Astra Serif"/>
          <w:sz w:val="26"/>
        </w:rPr>
        <w:t xml:space="preserve"> – </w:t>
      </w:r>
      <w:r>
        <w:rPr>
          <w:rFonts w:ascii="PT Astra Serif" w:hAnsi="PT Astra Serif"/>
          <w:sz w:val="26"/>
        </w:rPr>
        <w:t xml:space="preserve">право на заключение договора аренды земельного участка </w:t>
      </w:r>
      <w:r>
        <w:rPr>
          <w:rFonts w:ascii="PT Astra Serif" w:hAnsi="PT Astra Serif"/>
          <w:sz w:val="26"/>
        </w:rPr>
        <w:t>с кадастровым номером 4</w:t>
      </w:r>
      <w:r>
        <w:rPr>
          <w:rFonts w:ascii="PT Astra Serif" w:hAnsi="PT Astra Serif"/>
          <w:sz w:val="26"/>
        </w:rPr>
        <w:t xml:space="preserve">6:29:103032:485, площадью 750 кв.м., из категории земель населенных пунктов, расположенного по адресу: Курская обл., г. Курск,                  ул. Литовская, для целей, не связанных со строительством, с видом разрешенного использования земельного участка – «для организации бесплатной парковки автотранспорта». </w:t>
      </w:r>
    </w:p>
    <w:p w14:paraId="0A000000">
      <w:pPr>
        <w:ind w:firstLine="567" w:left="0"/>
        <w:jc w:val="both"/>
        <w:rPr>
          <w:rFonts w:ascii="PT Astra Serif" w:hAnsi="PT Astra Serif"/>
          <w:sz w:val="26"/>
        </w:rPr>
      </w:pPr>
      <w:r>
        <w:rPr>
          <w:rFonts w:ascii="PT Astra Serif" w:hAnsi="PT Astra Serif"/>
          <w:sz w:val="26"/>
        </w:rPr>
        <w:t xml:space="preserve">В соответствии </w:t>
      </w:r>
      <w:r>
        <w:rPr>
          <w:rFonts w:ascii="PT Astra Serif" w:hAnsi="PT Astra Serif"/>
          <w:sz w:val="26"/>
        </w:rPr>
        <w:t>с протоколом о рассмотрении заявок и определения участников аукциона на право заключения договора аренды земельного участка от 20.12.2019</w:t>
      </w:r>
      <w:r>
        <w:rPr>
          <w:rFonts w:ascii="PT Astra Serif" w:hAnsi="PT Astra Serif"/>
          <w:sz w:val="26"/>
        </w:rPr>
        <w:t xml:space="preserve">, п. 14 ст. 39.12 Земельного кодекса Российской Федерации аукцион по Лоту № 3 признан несостоявшимся </w:t>
      </w:r>
      <w:r>
        <w:rPr>
          <w:rFonts w:ascii="Times New Roman" w:hAnsi="Times New Roman"/>
          <w:b w:val="0"/>
          <w:sz w:val="26"/>
        </w:rPr>
        <w:t xml:space="preserve"> </w:t>
      </w:r>
      <w:r>
        <w:rPr>
          <w:rFonts w:ascii="Times New Roman" w:hAnsi="Times New Roman"/>
          <w:b w:val="0"/>
          <w:sz w:val="26"/>
        </w:rPr>
        <w:t>в связи с отсутствием заяв</w:t>
      </w:r>
      <w:r>
        <w:rPr>
          <w:rFonts w:ascii="Times New Roman" w:hAnsi="Times New Roman"/>
          <w:b w:val="0"/>
          <w:sz w:val="26"/>
        </w:rPr>
        <w:t>ок на участие в аукционе.</w:t>
      </w:r>
    </w:p>
    <w:p w14:paraId="0B000000">
      <w:pPr>
        <w:ind w:firstLine="567" w:left="0"/>
        <w:jc w:val="both"/>
        <w:rPr>
          <w:rFonts w:ascii="PT Astra Serif" w:hAnsi="PT Astra Serif"/>
          <w:sz w:val="26"/>
        </w:rPr>
      </w:pPr>
      <w:r>
        <w:rPr>
          <w:rFonts w:ascii="PT Astra Serif" w:hAnsi="PT Astra Serif"/>
          <w:b w:val="1"/>
          <w:sz w:val="26"/>
        </w:rPr>
        <w:t>Лот № 4</w:t>
      </w:r>
      <w:r>
        <w:rPr>
          <w:rFonts w:ascii="PT Astra Serif" w:hAnsi="PT Astra Serif"/>
          <w:sz w:val="26"/>
        </w:rPr>
        <w:t xml:space="preserve"> – </w:t>
      </w:r>
      <w:r>
        <w:rPr>
          <w:rFonts w:ascii="PT Astra Serif" w:hAnsi="PT Astra Serif"/>
          <w:sz w:val="26"/>
        </w:rPr>
        <w:t xml:space="preserve">право на заключение договора аренды земельного участка </w:t>
      </w:r>
      <w:r>
        <w:rPr>
          <w:rFonts w:ascii="PT Astra Serif" w:hAnsi="PT Astra Serif"/>
          <w:sz w:val="26"/>
        </w:rPr>
        <w:t>с кадастровым номером 4</w:t>
      </w:r>
      <w:r>
        <w:rPr>
          <w:rFonts w:ascii="PT Astra Serif" w:hAnsi="PT Astra Serif"/>
          <w:sz w:val="26"/>
        </w:rPr>
        <w:t xml:space="preserve">6:29:103032:401, площадью 600 кв.м., из категории земель населенных пунктов, расположенного по адресу: Курская обл., г. Курск,                         ул. Литовская, для целей, не связанных со строительством, с видом разрешенного использования земельного участка – «для организации парковки служебного автотранспорта». </w:t>
      </w:r>
    </w:p>
    <w:p w14:paraId="0C000000">
      <w:pPr>
        <w:ind w:firstLine="567" w:left="0"/>
        <w:jc w:val="both"/>
        <w:rPr>
          <w:rFonts w:ascii="PT Astra Serif" w:hAnsi="PT Astra Serif"/>
          <w:sz w:val="26"/>
        </w:rPr>
      </w:pPr>
      <w:r>
        <w:rPr>
          <w:rFonts w:ascii="PT Astra Serif" w:hAnsi="PT Astra Serif"/>
          <w:sz w:val="26"/>
        </w:rPr>
        <w:t xml:space="preserve">В соответствии </w:t>
      </w:r>
      <w:r>
        <w:rPr>
          <w:rFonts w:ascii="PT Astra Serif" w:hAnsi="PT Astra Serif"/>
          <w:sz w:val="26"/>
        </w:rPr>
        <w:t>с протоколом о рассмотрении заявок и определения участников аукциона на право заключения договора аренды земельного участка от 20.12.2019</w:t>
      </w:r>
      <w:r>
        <w:rPr>
          <w:rFonts w:ascii="PT Astra Serif" w:hAnsi="PT Astra Serif"/>
          <w:sz w:val="26"/>
        </w:rPr>
        <w:t xml:space="preserve">, п. 14 ст. 39.12 Земельного кодекса Российской Федерации аукцион по Лоту № 4 признан несостоявшимся </w:t>
      </w:r>
      <w:r>
        <w:rPr>
          <w:rFonts w:ascii="Times New Roman" w:hAnsi="Times New Roman"/>
          <w:b w:val="0"/>
          <w:sz w:val="26"/>
        </w:rPr>
        <w:t xml:space="preserve"> </w:t>
      </w:r>
      <w:r>
        <w:rPr>
          <w:rFonts w:ascii="Times New Roman" w:hAnsi="Times New Roman"/>
          <w:b w:val="0"/>
          <w:sz w:val="26"/>
        </w:rPr>
        <w:t>в связи с отсутствием заяв</w:t>
      </w:r>
      <w:r>
        <w:rPr>
          <w:rFonts w:ascii="Times New Roman" w:hAnsi="Times New Roman"/>
          <w:b w:val="0"/>
          <w:sz w:val="26"/>
        </w:rPr>
        <w:t>ок на участие в аукционе.</w:t>
      </w:r>
    </w:p>
    <w:p w14:paraId="0D000000">
      <w:pPr>
        <w:ind w:firstLine="567" w:left="0"/>
        <w:jc w:val="both"/>
        <w:rPr>
          <w:rFonts w:ascii="PT Astra Serif" w:hAnsi="PT Astra Serif"/>
          <w:sz w:val="26"/>
        </w:rPr>
      </w:pPr>
    </w:p>
    <w:p w14:paraId="0E000000">
      <w:pPr>
        <w:ind w:firstLine="567" w:left="0"/>
        <w:jc w:val="both"/>
        <w:rPr>
          <w:rFonts w:ascii="PT Astra Serif" w:hAnsi="PT Astra Serif"/>
          <w:sz w:val="26"/>
        </w:rPr>
      </w:pPr>
    </w:p>
    <w:p w14:paraId="0F000000">
      <w:pPr>
        <w:ind w:firstLine="567" w:left="0"/>
        <w:jc w:val="both"/>
        <w:rPr>
          <w:rFonts w:ascii="PT Astra Serif" w:hAnsi="PT Astra Serif"/>
          <w:sz w:val="26"/>
        </w:rPr>
      </w:pPr>
      <w:r>
        <w:rPr>
          <w:rFonts w:ascii="PT Astra Serif" w:hAnsi="PT Astra Serif"/>
          <w:b w:val="1"/>
          <w:sz w:val="26"/>
        </w:rPr>
        <w:t xml:space="preserve">Лот № </w:t>
      </w:r>
      <w:r>
        <w:rPr>
          <w:rFonts w:ascii="PT Astra Serif" w:hAnsi="PT Astra Serif"/>
          <w:b w:val="1"/>
          <w:sz w:val="26"/>
        </w:rPr>
        <w:t>5</w:t>
      </w:r>
      <w:r>
        <w:rPr>
          <w:rFonts w:ascii="PT Astra Serif" w:hAnsi="PT Astra Serif"/>
          <w:sz w:val="26"/>
        </w:rPr>
        <w:t xml:space="preserve"> – </w:t>
      </w:r>
      <w:r>
        <w:rPr>
          <w:rFonts w:ascii="PT Astra Serif" w:hAnsi="PT Astra Serif"/>
          <w:sz w:val="26"/>
        </w:rPr>
        <w:t xml:space="preserve">право на заключение договора аренды земельного участка </w:t>
      </w:r>
      <w:r>
        <w:rPr>
          <w:rFonts w:ascii="PT Astra Serif" w:hAnsi="PT Astra Serif"/>
          <w:sz w:val="26"/>
        </w:rPr>
        <w:t xml:space="preserve">с кадастровым номером </w:t>
      </w:r>
      <w:r>
        <w:rPr>
          <w:rFonts w:ascii="PT Astra Serif" w:hAnsi="PT Astra Serif"/>
          <w:sz w:val="26"/>
        </w:rPr>
        <w:t xml:space="preserve">46:29:103140:418, площадью 2 423 кв.м., из категории земель населенных пунктов, расположенного по адресу: Курская обл., г. Курск,               ул. Народная, д. 1, для целей, не связанных со строительством, с видом разрешенного использования земельного участка – «склады». </w:t>
      </w:r>
    </w:p>
    <w:p w14:paraId="10000000">
      <w:pPr>
        <w:ind w:firstLine="567" w:left="0"/>
        <w:jc w:val="both"/>
        <w:rPr>
          <w:rFonts w:ascii="PT Astra Serif" w:hAnsi="PT Astra Serif"/>
          <w:sz w:val="26"/>
        </w:rPr>
      </w:pPr>
      <w:r>
        <w:rPr>
          <w:rFonts w:ascii="PT Astra Serif" w:hAnsi="PT Astra Serif"/>
          <w:sz w:val="26"/>
        </w:rPr>
        <w:t xml:space="preserve">В соответствии </w:t>
      </w:r>
      <w:r>
        <w:rPr>
          <w:rFonts w:ascii="PT Astra Serif" w:hAnsi="PT Astra Serif"/>
          <w:sz w:val="26"/>
        </w:rPr>
        <w:t xml:space="preserve">с протоколом о рассмотрении заявок и определения участников аукциона на право заключения договора аренды земельного участка от 20.12.2019 допущены к участию в аукционе и признаны участниками аукциона </w:t>
      </w:r>
      <w:r>
        <w:rPr>
          <w:rFonts w:ascii="PT Astra Serif" w:hAnsi="PT Astra Serif"/>
          <w:sz w:val="26"/>
        </w:rPr>
        <w:t>ООО "Бетонные строительные конструкции", ООО "Мобильные дома".</w:t>
      </w:r>
    </w:p>
    <w:p w14:paraId="11000000">
      <w:pPr>
        <w:ind w:firstLine="567" w:left="0"/>
        <w:jc w:val="both"/>
        <w:rPr>
          <w:rFonts w:ascii="PT Astra Serif" w:hAnsi="PT Astra Serif"/>
          <w:sz w:val="26"/>
        </w:rPr>
      </w:pPr>
    </w:p>
    <w:p w14:paraId="12000000">
      <w:pPr>
        <w:ind w:firstLine="567" w:left="0"/>
        <w:jc w:val="both"/>
        <w:rPr>
          <w:rFonts w:ascii="PT Astra Serif" w:hAnsi="PT Astra Serif"/>
          <w:sz w:val="26"/>
        </w:rPr>
      </w:pPr>
    </w:p>
    <w:p w14:paraId="13000000">
      <w:pPr>
        <w:ind w:firstLine="567" w:left="0"/>
        <w:jc w:val="both"/>
        <w:rPr>
          <w:rFonts w:ascii="PT Astra Serif" w:hAnsi="PT Astra Serif"/>
          <w:sz w:val="26"/>
        </w:rPr>
      </w:pPr>
    </w:p>
    <w:sectPr>
      <w:pgSz w:h="16838" w:w="11906"/>
      <w:pgMar w:bottom="1134" w:footer="708" w:gutter="0" w:header="708" w:left="1701" w:right="850" w:top="28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xmlns:xml="http://www.w3.org/XML/1998/namespace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xmlns:xml="http://www.w3.org/XML/1998/namespace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after="0" w:line="240" w:lineRule="auto"/>
      <w:ind/>
    </w:pPr>
    <w:rPr>
      <w:rFonts w:ascii="Times New Roman" w:hAnsi="Times New Roman"/>
      <w:sz w:val="24"/>
    </w:rPr>
  </w:style>
  <w:style w:default="1" w:styleId="Style_1_ch" w:type="character">
    <w:name w:val="Normal"/>
    <w:link w:val="Style_1"/>
    <w:rPr>
      <w:rFonts w:ascii="Times New Roman" w:hAnsi="Times New Roman"/>
      <w:sz w:val="24"/>
    </w:rPr>
  </w:style>
  <w:style w:styleId="Style_2" w:type="paragraph">
    <w:name w:val="toc 2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Balloon Text"/>
    <w:basedOn w:val="Style_1"/>
    <w:link w:val="Style_3_ch"/>
    <w:rPr>
      <w:rFonts w:ascii="Segoe UI" w:hAnsi="Segoe UI"/>
      <w:sz w:val="18"/>
    </w:rPr>
  </w:style>
  <w:style w:styleId="Style_3_ch" w:type="character">
    <w:name w:val="Balloon Text"/>
    <w:basedOn w:val="Style_1_ch"/>
    <w:link w:val="Style_3"/>
    <w:rPr>
      <w:rFonts w:ascii="Segoe UI" w:hAnsi="Segoe UI"/>
      <w:sz w:val="18"/>
    </w:rPr>
  </w:style>
  <w:style w:styleId="Style_4" w:type="paragraph">
    <w:name w:val="toc 4"/>
    <w:link w:val="Style_4_ch"/>
    <w:uiPriority w:val="39"/>
    <w:pPr>
      <w:ind w:firstLine="0" w:left="600"/>
    </w:pPr>
  </w:style>
  <w:style w:styleId="Style_4_ch" w:type="character">
    <w:name w:val="toc 4"/>
    <w:link w:val="Style_4"/>
  </w:style>
  <w:style w:styleId="Style_5" w:type="paragraph">
    <w:name w:val="header"/>
    <w:basedOn w:val="Style_1"/>
    <w:link w:val="Style_5_ch"/>
    <w:pPr>
      <w:tabs>
        <w:tab w:leader="none" w:pos="4677" w:val="center"/>
        <w:tab w:leader="none" w:pos="9355" w:val="right"/>
      </w:tabs>
      <w:ind/>
    </w:pPr>
  </w:style>
  <w:style w:styleId="Style_5_ch" w:type="character">
    <w:name w:val="header"/>
    <w:basedOn w:val="Style_1_ch"/>
    <w:link w:val="Style_5"/>
  </w:style>
  <w:style w:styleId="Style_6" w:type="paragraph">
    <w:name w:val="toc 6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10" w:type="paragraph">
    <w:name w:val="toc 3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11" w:type="paragraph">
    <w:name w:val="footer"/>
    <w:basedOn w:val="Style_1"/>
    <w:link w:val="Style_11_ch"/>
    <w:pPr>
      <w:tabs>
        <w:tab w:leader="none" w:pos="4677" w:val="center"/>
        <w:tab w:leader="none" w:pos="9355" w:val="right"/>
      </w:tabs>
      <w:ind/>
    </w:pPr>
  </w:style>
  <w:style w:styleId="Style_11_ch" w:type="character">
    <w:name w:val="footer"/>
    <w:basedOn w:val="Style_1_ch"/>
    <w:link w:val="Style_11"/>
  </w:style>
  <w:style w:styleId="Style_12" w:type="paragraph">
    <w:name w:val="heading 5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heading 1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toc 5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21" w:type="paragraph">
    <w:name w:val="Subtitle"/>
    <w:link w:val="Style_21_ch"/>
    <w:uiPriority w:val="11"/>
    <w:qFormat/>
    <w:rPr>
      <w:rFonts w:ascii="XO Thames" w:hAnsi="XO Thames"/>
      <w:i w:val="1"/>
      <w:color w:val="616161"/>
      <w:sz w:val="24"/>
    </w:rPr>
  </w:style>
  <w:style w:styleId="Style_21_ch" w:type="character">
    <w:name w:val="Subtitle"/>
    <w:link w:val="Style_21"/>
    <w:rPr>
      <w:rFonts w:ascii="XO Thames" w:hAnsi="XO Thames"/>
      <w:i w:val="1"/>
      <w:color w:val="616161"/>
      <w:sz w:val="24"/>
    </w:rPr>
  </w:style>
  <w:style w:styleId="Style_22" w:type="paragraph">
    <w:name w:val="toc 10"/>
    <w:link w:val="Style_22_ch"/>
    <w:uiPriority w:val="39"/>
    <w:pPr>
      <w:ind w:firstLine="0" w:left="1800"/>
    </w:pPr>
  </w:style>
  <w:style w:styleId="Style_22_ch" w:type="character">
    <w:name w:val="toc 10"/>
    <w:link w:val="Style_22"/>
  </w:style>
  <w:style w:styleId="Style_23" w:type="paragraph">
    <w:name w:val="Title"/>
    <w:link w:val="Style_23_ch"/>
    <w:uiPriority w:val="10"/>
    <w:qFormat/>
    <w:rPr>
      <w:rFonts w:ascii="XO Thames" w:hAnsi="XO Thames"/>
      <w:b w:val="1"/>
      <w:sz w:val="52"/>
    </w:rPr>
  </w:style>
  <w:style w:styleId="Style_23_ch" w:type="character">
    <w:name w:val="Title"/>
    <w:link w:val="Style_23"/>
    <w:rPr>
      <w:rFonts w:ascii="XO Thames" w:hAnsi="XO Thames"/>
      <w:b w:val="1"/>
      <w:sz w:val="52"/>
    </w:rPr>
  </w:style>
  <w:style w:styleId="Style_24" w:type="paragraph">
    <w:name w:val="heading 4"/>
    <w:link w:val="Style_24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4_ch" w:type="character">
    <w:name w:val="heading 4"/>
    <w:link w:val="Style_24"/>
    <w:rPr>
      <w:rFonts w:ascii="XO Thames" w:hAnsi="XO Thames"/>
      <w:b w:val="1"/>
      <w:color w:val="595959"/>
      <w:sz w:val="26"/>
    </w:rPr>
  </w:style>
  <w:style w:styleId="Style_25" w:type="paragraph">
    <w:name w:val="heading 2"/>
    <w:link w:val="Style_25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5_ch" w:type="character">
    <w:name w:val="heading 2"/>
    <w:link w:val="Style_25"/>
    <w:rPr>
      <w:rFonts w:ascii="XO Thames" w:hAnsi="XO Thames"/>
      <w:b w:val="1"/>
      <w:color w:val="00A0FF"/>
      <w:sz w:val="26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xmlns:xml="http://www.w3.org/XML/1998/namespace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</a:gradFill>
        <a:gradFill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MyOffice-CoreFramework-Linux/15.0-625.146.3192.258.0@RELEASE-DESKTOP-NUTMEG-ST-2</Application>
</Properties>
</file>