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49B" w:rsidRDefault="0010049B" w:rsidP="0010049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Курской областной Думе в постоянное (бессрочное) пользование земельного участка для строительства:</w:t>
      </w:r>
    </w:p>
    <w:p w:rsidR="0010049B" w:rsidRDefault="0010049B" w:rsidP="0010049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299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46:29:102256:513, расположенного по адресу: г. Курск, Софьи Перовской, 24, для строительства гаражных боксов.</w:t>
      </w:r>
    </w:p>
    <w:p w:rsidR="0010049B" w:rsidRDefault="0010049B" w:rsidP="0010049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629B" w:rsidRDefault="001D629B" w:rsidP="00ED16A4">
      <w:bookmarkStart w:id="0" w:name="_GoBack"/>
      <w:bookmarkEnd w:id="0"/>
    </w:p>
    <w:p w:rsidR="00FC3CF1" w:rsidRDefault="00FC3CF1" w:rsidP="00ED16A4"/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13</cp:revision>
  <cp:lastPrinted>2014-01-23T05:21:00Z</cp:lastPrinted>
  <dcterms:created xsi:type="dcterms:W3CDTF">2014-03-13T05:02:00Z</dcterms:created>
  <dcterms:modified xsi:type="dcterms:W3CDTF">2014-04-17T06:39:00Z</dcterms:modified>
</cp:coreProperties>
</file>