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contextualSpacing w:val="1"/>
        <w:jc w:val="center"/>
        <w:rPr>
          <w:b w:val="1"/>
        </w:rPr>
      </w:pPr>
      <w:r>
        <w:rPr>
          <w:b w:val="1"/>
        </w:rPr>
        <w:t>Результаты аукциона от 16 сентября 2022 года</w:t>
      </w:r>
    </w:p>
    <w:p w14:paraId="02000000">
      <w:pPr>
        <w:ind/>
        <w:contextualSpacing w:val="1"/>
        <w:jc w:val="center"/>
        <w:rPr>
          <w:b w:val="1"/>
        </w:rPr>
      </w:pPr>
    </w:p>
    <w:p w14:paraId="0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16 сентября</w:t>
      </w:r>
      <w:r>
        <w:rPr>
          <w:rFonts w:ascii="XO Thames" w:hAnsi="XO Thames"/>
          <w:sz w:val="26"/>
        </w:rPr>
        <w:t xml:space="preserve"> 2022 года в соответствии с решениями комитета по управлению имуществом </w:t>
      </w:r>
      <w:r>
        <w:rPr>
          <w:rFonts w:ascii="XO Thames" w:hAnsi="XO Thames"/>
          <w:sz w:val="26"/>
        </w:rPr>
        <w:t xml:space="preserve">Курской области от 01.08.2022 № 01.01-33/110, </w:t>
      </w:r>
      <w:r>
        <w:rPr>
          <w:rFonts w:ascii="XO Thames" w:hAnsi="XO Thames"/>
          <w:sz w:val="26"/>
        </w:rPr>
        <w:t xml:space="preserve">от 01.08.2022 № 01.01-33/112, </w:t>
      </w:r>
      <w:r>
        <w:rPr>
          <w:rFonts w:ascii="XO Thames" w:hAnsi="XO Thames"/>
          <w:sz w:val="26"/>
        </w:rPr>
        <w:t xml:space="preserve">от 14.07.2022 № 01.01-17/604/1, </w:t>
      </w:r>
      <w:r>
        <w:rPr>
          <w:rFonts w:ascii="XO Thames" w:hAnsi="XO Thames"/>
          <w:sz w:val="26"/>
        </w:rPr>
        <w:t xml:space="preserve">от 14.07.2022 № 01.01-17/605/1, </w:t>
      </w:r>
      <w:r>
        <w:rPr>
          <w:rFonts w:ascii="XO Thames" w:hAnsi="XO Thames"/>
          <w:sz w:val="26"/>
        </w:rPr>
        <w:t xml:space="preserve">от 01.08.2022 № 01.01-33/111, </w:t>
      </w:r>
      <w:r>
        <w:rPr>
          <w:rFonts w:ascii="XO Thames" w:hAnsi="XO Thames"/>
          <w:sz w:val="26"/>
        </w:rPr>
        <w:t xml:space="preserve">от 02.08.2022 № 01.01-17/665, </w:t>
      </w:r>
      <w:r>
        <w:rPr>
          <w:rFonts w:ascii="XO Thames" w:hAnsi="XO Thames"/>
          <w:sz w:val="26"/>
        </w:rPr>
        <w:t xml:space="preserve">от 02.08.2022 № 01.01-17/663, </w:t>
      </w:r>
      <w:r>
        <w:rPr>
          <w:rFonts w:ascii="XO Thames" w:hAnsi="XO Thames"/>
          <w:sz w:val="26"/>
        </w:rPr>
        <w:t xml:space="preserve">от 02.08.2022 № 01.01-17/654, </w:t>
      </w:r>
      <w:r>
        <w:rPr>
          <w:rFonts w:ascii="XO Thames" w:hAnsi="XO Thames"/>
          <w:sz w:val="26"/>
        </w:rPr>
        <w:t xml:space="preserve">от 02.08.2022 № 01.01-17/655, </w:t>
      </w:r>
      <w:r>
        <w:rPr>
          <w:rFonts w:ascii="XO Thames" w:hAnsi="XO Thames"/>
          <w:sz w:val="26"/>
        </w:rPr>
        <w:t xml:space="preserve">от </w:t>
      </w:r>
      <w:r>
        <w:rPr>
          <w:rFonts w:ascii="XO Thames" w:hAnsi="XO Thames"/>
          <w:sz w:val="26"/>
        </w:rPr>
        <w:t>02.08.2022 № 01.01-17/652.</w:t>
      </w:r>
    </w:p>
    <w:p w14:paraId="0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1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46:25:000000:1279, площадью 447 974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Фатежский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Банинский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>, для целей, не связанных со строительством.</w:t>
      </w:r>
    </w:p>
    <w:p w14:paraId="0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16.09.2022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1 признан участник – ООО "Крестьянское (фермерское) хозяйство "Петрович"</w:t>
      </w:r>
      <w:r>
        <w:rPr>
          <w:rFonts w:ascii="XO Thames" w:hAnsi="XO Thames"/>
          <w:sz w:val="26"/>
        </w:rPr>
        <w:t>.</w:t>
      </w:r>
    </w:p>
    <w:p w14:paraId="0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2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 xml:space="preserve">ром </w:t>
      </w:r>
      <w:r>
        <w:rPr>
          <w:rFonts w:ascii="XO Thames" w:hAnsi="XO Thames"/>
          <w:color w:val="000000"/>
          <w:spacing w:val="0"/>
          <w:sz w:val="26"/>
        </w:rPr>
        <w:t xml:space="preserve">46:25:100008:131, площадью 32 600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Фатежский</w:t>
      </w:r>
      <w:r>
        <w:rPr>
          <w:rFonts w:ascii="XO Thames" w:hAnsi="XO Thames"/>
          <w:color w:val="000000"/>
          <w:spacing w:val="0"/>
          <w:sz w:val="26"/>
        </w:rPr>
        <w:t xml:space="preserve"> р-н, Большежировский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>, для целей, не связанных со строительством.</w:t>
      </w:r>
    </w:p>
    <w:p w14:paraId="0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2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08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3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46:12:090402:186, площадью 80 425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Курчатовский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Макаровский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с. Макаровка, с видом разрешенного использования земельного участка – "сельскохозяйственное использование"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9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16.09.2022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>аукциона по Лоту № 3 признан участник – Антоненко Александр Александрович</w:t>
      </w:r>
      <w:r>
        <w:rPr>
          <w:rFonts w:ascii="XO Thames" w:hAnsi="XO Thames"/>
          <w:sz w:val="26"/>
        </w:rPr>
        <w:t>.</w:t>
      </w:r>
    </w:p>
    <w:p w14:paraId="0A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4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>46:12:090905:18, площадью 310 381 кв.м., из категории земель сельскохозяйственного назначения, находящегося в государственной собственности Курской области</w:t>
      </w:r>
      <w:r>
        <w:rPr>
          <w:rFonts w:ascii="XO Thames" w:hAnsi="XO Thames"/>
          <w:color w:val="000000"/>
          <w:spacing w:val="0"/>
          <w:sz w:val="26"/>
        </w:rPr>
        <w:t xml:space="preserve">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Курчатовский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Макаровский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с. Макаровка, с видом разрешенного использования земельного участка – "сельскохозяйственное использование"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B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соответствии с Протоколом о результатах аукциона от 16.09.2022 </w:t>
      </w:r>
      <w:r>
        <w:rPr>
          <w:rFonts w:ascii="XO Thames" w:hAnsi="XO Thames"/>
          <w:sz w:val="26"/>
        </w:rPr>
        <w:t xml:space="preserve">победителем </w:t>
      </w:r>
      <w:r>
        <w:rPr>
          <w:rFonts w:ascii="XO Thames" w:hAnsi="XO Thames"/>
          <w:sz w:val="26"/>
        </w:rPr>
        <w:t xml:space="preserve">аукциона по Лоту № 4 признан участник – </w:t>
      </w:r>
      <w:r>
        <w:rPr>
          <w:rFonts w:ascii="XO Thames" w:hAnsi="XO Thames"/>
          <w:sz w:val="26"/>
        </w:rPr>
        <w:t>Антоненко Александр Александрович</w:t>
      </w:r>
      <w:r>
        <w:rPr>
          <w:rFonts w:ascii="XO Thames" w:hAnsi="XO Thames"/>
          <w:sz w:val="26"/>
        </w:rPr>
        <w:t>.</w:t>
      </w:r>
    </w:p>
    <w:p w14:paraId="0C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5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color w:val="000000"/>
          <w:spacing w:val="0"/>
          <w:sz w:val="26"/>
        </w:rPr>
        <w:t xml:space="preserve">право на заключение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46:17:051204:307, площадью 42 000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Катыринский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>, 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0D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5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0E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6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 xml:space="preserve">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46:17:031106:172, площадью 215 300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Большедолженковский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"Сенокошение. Выпас сельскохозяйственных животных"</w:t>
      </w:r>
      <w:r>
        <w:rPr>
          <w:rFonts w:ascii="XO Thames" w:hAnsi="XO Thames"/>
          <w:b w:val="0"/>
          <w:color w:val="000000"/>
          <w:spacing w:val="0"/>
          <w:sz w:val="26"/>
        </w:rPr>
        <w:t>.</w:t>
      </w:r>
    </w:p>
    <w:p w14:paraId="0F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6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0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7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 xml:space="preserve">46:17:031101:148, площадью 94 250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Большедолженковский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"Сенокошение. Выпас сельскохозяйственных животных"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1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7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2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8</w:t>
      </w:r>
      <w:r>
        <w:rPr>
          <w:rFonts w:ascii="XO Thames" w:hAnsi="XO Thames"/>
          <w:sz w:val="26"/>
        </w:rPr>
        <w:t xml:space="preserve"> – </w:t>
      </w:r>
      <w:r>
        <w:rPr>
          <w:rFonts w:ascii="XO Thames" w:hAnsi="XO Thames"/>
          <w:color w:val="000000"/>
          <w:spacing w:val="0"/>
          <w:sz w:val="26"/>
        </w:rPr>
        <w:t xml:space="preserve">право на заключение договора аренды земельного участка с кадастровым номером </w:t>
      </w:r>
      <w:r>
        <w:rPr>
          <w:rFonts w:ascii="XO Thames" w:hAnsi="XO Thames"/>
          <w:color w:val="000000"/>
          <w:spacing w:val="0"/>
          <w:sz w:val="26"/>
        </w:rPr>
        <w:t xml:space="preserve">46:17:031106:171, площадью 89 200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Большедолженковский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"Сенокошение. Выпас сельскохозяйственных животных"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3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8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4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 № 9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</w:t>
      </w:r>
      <w:r>
        <w:rPr>
          <w:rFonts w:ascii="XO Thames" w:hAnsi="XO Thames"/>
          <w:sz w:val="26"/>
        </w:rPr>
        <w:t xml:space="preserve"> номером </w:t>
      </w:r>
      <w:r>
        <w:rPr>
          <w:rFonts w:ascii="XO Thames" w:hAnsi="XO Thames"/>
          <w:color w:val="000000"/>
          <w:spacing w:val="0"/>
          <w:sz w:val="26"/>
        </w:rPr>
        <w:t xml:space="preserve">46:17:031101:147, площадью 146 200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Октябрьский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Большедолженковский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"Сенокошение. Выпас сельскохозяйственных животных"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5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9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6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Лот</w:t>
      </w:r>
      <w:r>
        <w:rPr>
          <w:rFonts w:ascii="XO Thames" w:hAnsi="XO Thames"/>
          <w:b w:val="1"/>
          <w:sz w:val="26"/>
        </w:rPr>
        <w:t xml:space="preserve"> № </w:t>
      </w:r>
      <w:r>
        <w:rPr>
          <w:rFonts w:ascii="XO Thames" w:hAnsi="XO Thames"/>
          <w:b w:val="1"/>
          <w:sz w:val="26"/>
        </w:rPr>
        <w:t>10</w:t>
      </w:r>
      <w:r>
        <w:rPr>
          <w:rFonts w:ascii="XO Thames" w:hAnsi="XO Thames"/>
          <w:sz w:val="26"/>
        </w:rPr>
        <w:t xml:space="preserve"> – право на заключение договора аренды земельного участка с </w:t>
      </w:r>
      <w:r>
        <w:rPr>
          <w:rFonts w:ascii="XO Thames" w:hAnsi="XO Thames"/>
          <w:sz w:val="26"/>
        </w:rPr>
        <w:t>кадастровым номе</w:t>
      </w:r>
      <w:r>
        <w:rPr>
          <w:rFonts w:ascii="XO Thames" w:hAnsi="XO Thames"/>
          <w:sz w:val="26"/>
        </w:rPr>
        <w:t>ром</w:t>
      </w:r>
      <w:r>
        <w:rPr>
          <w:rFonts w:ascii="XO Thames" w:hAnsi="XO Thames"/>
          <w:color w:val="000000"/>
          <w:spacing w:val="0"/>
          <w:sz w:val="26"/>
        </w:rPr>
        <w:t xml:space="preserve">46:26:140512:219, площадью 123 409 кв.м., из категории земель сельскохозяйственного назначения, государственная собственность на </w:t>
      </w:r>
      <w:r>
        <w:rPr>
          <w:rFonts w:ascii="XO Thames" w:hAnsi="XO Thames"/>
          <w:color w:val="000000"/>
          <w:spacing w:val="0"/>
          <w:sz w:val="26"/>
        </w:rPr>
        <w:t>который</w:t>
      </w:r>
      <w:r>
        <w:rPr>
          <w:rFonts w:ascii="XO Thames" w:hAnsi="XO Thames"/>
          <w:color w:val="000000"/>
          <w:spacing w:val="0"/>
          <w:sz w:val="26"/>
        </w:rPr>
        <w:t xml:space="preserve"> не</w:t>
      </w:r>
      <w:r>
        <w:rPr>
          <w:rFonts w:ascii="XO Thames" w:hAnsi="XO Thames"/>
          <w:color w:val="000000"/>
          <w:spacing w:val="0"/>
          <w:sz w:val="26"/>
        </w:rPr>
        <w:t xml:space="preserve"> разграничена, расположенного по адресу: </w:t>
      </w:r>
      <w:r>
        <w:rPr>
          <w:rFonts w:ascii="XO Thames" w:hAnsi="XO Thames"/>
          <w:color w:val="000000"/>
          <w:spacing w:val="0"/>
          <w:sz w:val="26"/>
        </w:rPr>
        <w:t>Курская</w:t>
      </w:r>
      <w:r>
        <w:rPr>
          <w:rFonts w:ascii="XO Thames" w:hAnsi="XO Thames"/>
          <w:color w:val="000000"/>
          <w:spacing w:val="0"/>
          <w:sz w:val="26"/>
        </w:rPr>
        <w:t xml:space="preserve"> обл., </w:t>
      </w:r>
      <w:r>
        <w:rPr>
          <w:rFonts w:ascii="XO Thames" w:hAnsi="XO Thames"/>
          <w:color w:val="000000"/>
          <w:spacing w:val="0"/>
          <w:sz w:val="26"/>
        </w:rPr>
        <w:t>Хомутовский</w:t>
      </w:r>
      <w:r>
        <w:rPr>
          <w:rFonts w:ascii="XO Thames" w:hAnsi="XO Thames"/>
          <w:color w:val="000000"/>
          <w:spacing w:val="0"/>
          <w:sz w:val="26"/>
        </w:rPr>
        <w:t xml:space="preserve"> р-н, </w:t>
      </w:r>
      <w:r>
        <w:rPr>
          <w:rFonts w:ascii="XO Thames" w:hAnsi="XO Thames"/>
          <w:color w:val="000000"/>
          <w:spacing w:val="0"/>
          <w:sz w:val="26"/>
        </w:rPr>
        <w:t>Петровский</w:t>
      </w:r>
      <w:r>
        <w:rPr>
          <w:rFonts w:ascii="XO Thames" w:hAnsi="XO Thames"/>
          <w:color w:val="000000"/>
          <w:spacing w:val="0"/>
          <w:sz w:val="26"/>
        </w:rPr>
        <w:t xml:space="preserve"> сельсовет, с видом разрешенного использования земельного участка – "растениеводство"</w:t>
      </w:r>
      <w:r>
        <w:rPr>
          <w:rFonts w:ascii="XO Thames" w:hAnsi="XO Thames"/>
          <w:color w:val="000000"/>
          <w:spacing w:val="0"/>
          <w:sz w:val="26"/>
        </w:rPr>
        <w:t>, для целей, не связанных со строительством</w:t>
      </w:r>
      <w:r>
        <w:rPr>
          <w:rFonts w:ascii="XO Thames" w:hAnsi="XO Thames"/>
          <w:color w:val="000000"/>
          <w:spacing w:val="0"/>
          <w:sz w:val="26"/>
        </w:rPr>
        <w:t>.</w:t>
      </w:r>
    </w:p>
    <w:p w14:paraId="17000000">
      <w:pPr>
        <w:ind w:firstLine="708"/>
        <w:contextualSpacing w:val="1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</w:t>
      </w:r>
      <w:r>
        <w:rPr>
          <w:rFonts w:ascii="XO Thames" w:hAnsi="XO Thames"/>
          <w:sz w:val="26"/>
        </w:rPr>
        <w:t>ветст</w:t>
      </w:r>
      <w:r>
        <w:rPr>
          <w:rFonts w:ascii="XO Thames" w:hAnsi="XO Thames"/>
          <w:sz w:val="26"/>
        </w:rPr>
        <w:t xml:space="preserve">вии с протоколом о рассмотрении заявок и определения </w:t>
      </w:r>
      <w:r>
        <w:rPr>
          <w:rFonts w:ascii="XO Thames" w:hAnsi="XO Thames"/>
          <w:sz w:val="26"/>
        </w:rPr>
        <w:t>участников аукциона на право заключения договора аренд</w:t>
      </w:r>
      <w:r>
        <w:rPr>
          <w:rFonts w:ascii="XO Thames" w:hAnsi="XO Thames"/>
          <w:sz w:val="26"/>
        </w:rPr>
        <w:t>ы земельного участка от 14.09.2022, в соответствии с п. 14 ст. 39.12 Земельного кодекса Российской Федерац</w:t>
      </w:r>
      <w:r>
        <w:rPr>
          <w:rFonts w:ascii="XO Thames" w:hAnsi="XO Thames"/>
          <w:sz w:val="26"/>
        </w:rPr>
        <w:t>ии ау</w:t>
      </w:r>
      <w:r>
        <w:rPr>
          <w:rFonts w:ascii="XO Thames" w:hAnsi="XO Thames"/>
          <w:sz w:val="26"/>
        </w:rPr>
        <w:t>кцион по Лоту № 10 признан несосто</w:t>
      </w:r>
      <w:r>
        <w:rPr>
          <w:rFonts w:ascii="XO Thames" w:hAnsi="XO Thames"/>
          <w:sz w:val="26"/>
        </w:rPr>
        <w:t xml:space="preserve">явшимся в связи с подачей одной </w:t>
      </w:r>
      <w:r>
        <w:rPr>
          <w:rFonts w:ascii="XO Thames" w:hAnsi="XO Thames"/>
          <w:sz w:val="26"/>
        </w:rPr>
        <w:t>заявки на участие в аукционе.</w:t>
      </w:r>
    </w:p>
    <w:p w14:paraId="18000000">
      <w:pPr>
        <w:ind w:firstLine="708"/>
        <w:contextualSpacing w:val="1"/>
        <w:jc w:val="both"/>
        <w:rPr>
          <w:rFonts w:ascii="XO Thames" w:hAnsi="XO Thames"/>
          <w:sz w:val="26"/>
        </w:rPr>
      </w:pPr>
    </w:p>
    <w:p w14:paraId="19000000">
      <w:pPr>
        <w:ind w:firstLine="567"/>
        <w:contextualSpacing w:val="1"/>
        <w:jc w:val="both"/>
      </w:pPr>
    </w:p>
    <w:p w14:paraId="1A000000">
      <w:pPr>
        <w:ind w:firstLine="567"/>
        <w:contextualSpacing w:val="1"/>
        <w:jc w:val="both"/>
      </w:pPr>
    </w:p>
    <w:p w14:paraId="1B000000">
      <w:pPr>
        <w:ind w:firstLine="567"/>
        <w:contextualSpacing w:val="1"/>
        <w:jc w:val="both"/>
      </w:pPr>
    </w:p>
    <w:p w14:paraId="1C000000">
      <w:pPr>
        <w:ind w:firstLine="567"/>
        <w:contextualSpacing w:val="1"/>
        <w:jc w:val="both"/>
      </w:pPr>
    </w:p>
    <w:p w14:paraId="1D000000">
      <w:pPr>
        <w:ind w:firstLine="567"/>
        <w:contextualSpacing w:val="1"/>
        <w:jc w:val="both"/>
      </w:pPr>
    </w:p>
    <w:sectPr>
      <w:pgSz w:h="16838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spacing w:after="160" w:line="264" w:lineRule="auto"/>
      <w:ind w:firstLine="0" w:left="200"/>
    </w:pPr>
    <w:rPr>
      <w:sz w:val="22"/>
    </w:rPr>
  </w:style>
  <w:style w:styleId="Style_2_ch" w:type="character">
    <w:name w:val="toc 2"/>
    <w:link w:val="Style_2"/>
    <w:rPr>
      <w:sz w:val="22"/>
    </w:rPr>
  </w:style>
  <w:style w:styleId="Style_3" w:type="paragraph">
    <w:name w:val="toc 4"/>
    <w:link w:val="Style_3_ch"/>
    <w:uiPriority w:val="39"/>
    <w:pPr>
      <w:spacing w:after="160" w:line="264" w:lineRule="auto"/>
      <w:ind w:firstLine="0" w:left="600"/>
    </w:pPr>
    <w:rPr>
      <w:sz w:val="22"/>
    </w:rPr>
  </w:style>
  <w:style w:styleId="Style_3_ch" w:type="character">
    <w:name w:val="toc 4"/>
    <w:link w:val="Style_3"/>
    <w:rPr>
      <w:sz w:val="22"/>
    </w:rPr>
  </w:style>
  <w:style w:styleId="Style_4" w:type="paragraph">
    <w:name w:val="toc 6"/>
    <w:link w:val="Style_4_ch"/>
    <w:uiPriority w:val="39"/>
    <w:pPr>
      <w:spacing w:after="160" w:line="264" w:lineRule="auto"/>
      <w:ind w:firstLine="0" w:left="1000"/>
    </w:pPr>
    <w:rPr>
      <w:sz w:val="22"/>
    </w:rPr>
  </w:style>
  <w:style w:styleId="Style_4_ch" w:type="character">
    <w:name w:val="toc 6"/>
    <w:link w:val="Style_4"/>
    <w:rPr>
      <w:sz w:val="22"/>
    </w:rPr>
  </w:style>
  <w:style w:styleId="Style_5" w:type="paragraph">
    <w:name w:val="toc 7"/>
    <w:link w:val="Style_5_ch"/>
    <w:uiPriority w:val="39"/>
    <w:pPr>
      <w:spacing w:after="160" w:line="264" w:lineRule="auto"/>
      <w:ind w:firstLine="0" w:left="1200"/>
    </w:pPr>
    <w:rPr>
      <w:sz w:val="22"/>
    </w:rPr>
  </w:style>
  <w:style w:styleId="Style_5_ch" w:type="character">
    <w:name w:val="toc 7"/>
    <w:link w:val="Style_5"/>
    <w:rPr>
      <w:sz w:val="22"/>
    </w:rPr>
  </w:style>
  <w:style w:styleId="Style_6" w:type="paragraph">
    <w:name w:val="heading 3"/>
    <w:link w:val="Style_6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sz w:val="22"/>
    </w:rPr>
  </w:style>
  <w:style w:styleId="Style_6_ch" w:type="character">
    <w:name w:val="heading 3"/>
    <w:link w:val="Style_6"/>
    <w:rPr>
      <w:rFonts w:ascii="XO Thames" w:hAnsi="XO Thames"/>
      <w:b w:val="1"/>
      <w:i w:val="1"/>
      <w:sz w:val="22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Default Paragraph Font1"/>
    <w:link w:val="Style_8_ch"/>
    <w:pPr>
      <w:spacing w:after="160" w:line="264" w:lineRule="auto"/>
      <w:ind/>
    </w:pPr>
    <w:rPr>
      <w:sz w:val="22"/>
    </w:rPr>
  </w:style>
  <w:style w:styleId="Style_8_ch" w:type="character">
    <w:name w:val="Default Paragraph Font1"/>
    <w:link w:val="Style_8"/>
    <w:rPr>
      <w:sz w:val="22"/>
    </w:rPr>
  </w:style>
  <w:style w:styleId="Style_9" w:type="paragraph">
    <w:name w:val="Hyperlink1"/>
    <w:link w:val="Style_9_ch"/>
    <w:pPr>
      <w:spacing w:after="160" w:line="264" w:lineRule="auto"/>
      <w:ind/>
    </w:pPr>
    <w:rPr>
      <w:color w:val="0000FF"/>
      <w:u w:val="single"/>
    </w:rPr>
  </w:style>
  <w:style w:styleId="Style_9_ch" w:type="character">
    <w:name w:val="Hyperlink1"/>
    <w:link w:val="Style_9"/>
    <w:rPr>
      <w:color w:val="0000FF"/>
      <w:u w:val="single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link w:val="Style_12_ch"/>
    <w:uiPriority w:val="39"/>
    <w:pPr>
      <w:spacing w:after="160" w:line="264" w:lineRule="auto"/>
      <w:ind w:firstLine="0" w:left="400"/>
    </w:pPr>
    <w:rPr>
      <w:sz w:val="22"/>
    </w:rPr>
  </w:style>
  <w:style w:styleId="Style_12_ch" w:type="character">
    <w:name w:val="toc 3"/>
    <w:link w:val="Style_12"/>
    <w:rPr>
      <w:sz w:val="2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link w:val="Style_14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link w:val="Style_15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spacing w:after="160" w:line="264" w:lineRule="auto"/>
      <w:ind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1"/>
    <w:link w:val="Style_20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after="160" w:line="360" w:lineRule="auto"/>
      <w:ind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header"/>
    <w:basedOn w:val="Style_1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header"/>
    <w:basedOn w:val="Style_1_ch"/>
    <w:link w:val="Style_22"/>
  </w:style>
  <w:style w:styleId="Style_23" w:type="paragraph">
    <w:name w:val="toc 9"/>
    <w:link w:val="Style_23_ch"/>
    <w:uiPriority w:val="39"/>
    <w:pPr>
      <w:spacing w:after="160" w:line="264" w:lineRule="auto"/>
      <w:ind w:firstLine="0" w:left="1600"/>
    </w:pPr>
    <w:rPr>
      <w:sz w:val="22"/>
    </w:rPr>
  </w:style>
  <w:style w:styleId="Style_23_ch" w:type="character">
    <w:name w:val="toc 9"/>
    <w:link w:val="Style_23"/>
    <w:rPr>
      <w:sz w:val="22"/>
    </w:rPr>
  </w:style>
  <w:style w:styleId="Style_24" w:type="paragraph">
    <w:name w:val="Heading 3 Char"/>
    <w:link w:val="Style_24_ch"/>
    <w:rPr>
      <w:rFonts w:ascii="XO Thames" w:hAnsi="XO Thames"/>
      <w:b w:val="1"/>
      <w:i w:val="1"/>
    </w:rPr>
  </w:style>
  <w:style w:styleId="Style_24_ch" w:type="character">
    <w:name w:val="Heading 3 Char"/>
    <w:link w:val="Style_24"/>
    <w:rPr>
      <w:rFonts w:ascii="XO Thames" w:hAnsi="XO Thames"/>
      <w:b w:val="1"/>
      <w:i w:val="1"/>
    </w:rPr>
  </w:style>
  <w:style w:styleId="Style_25" w:type="paragraph">
    <w:name w:val="Обычный1"/>
    <w:link w:val="Style_25_ch"/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Balloon Text"/>
    <w:basedOn w:val="Style_1"/>
    <w:link w:val="Style_26_ch"/>
    <w:rPr>
      <w:rFonts w:ascii="Segoe UI" w:hAnsi="Segoe UI"/>
      <w:sz w:val="18"/>
    </w:rPr>
  </w:style>
  <w:style w:styleId="Style_26_ch" w:type="character">
    <w:name w:val="Balloon Text"/>
    <w:basedOn w:val="Style_1_ch"/>
    <w:link w:val="Style_26"/>
    <w:rPr>
      <w:rFonts w:ascii="Segoe UI" w:hAnsi="Segoe UI"/>
      <w:sz w:val="18"/>
    </w:rPr>
  </w:style>
  <w:style w:styleId="Style_27" w:type="paragraph">
    <w:name w:val="toc 8"/>
    <w:link w:val="Style_27_ch"/>
    <w:uiPriority w:val="39"/>
    <w:pPr>
      <w:spacing w:after="160" w:line="264" w:lineRule="auto"/>
      <w:ind w:firstLine="0" w:left="1400"/>
    </w:pPr>
    <w:rPr>
      <w:sz w:val="22"/>
    </w:rPr>
  </w:style>
  <w:style w:styleId="Style_27_ch" w:type="character">
    <w:name w:val="toc 8"/>
    <w:link w:val="Style_27"/>
    <w:rPr>
      <w:sz w:val="22"/>
    </w:rPr>
  </w:style>
  <w:style w:styleId="Style_28" w:type="paragraph">
    <w:name w:val="footer"/>
    <w:basedOn w:val="Style_1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1_ch"/>
    <w:link w:val="Style_28"/>
  </w:style>
  <w:style w:styleId="Style_29" w:type="paragraph">
    <w:name w:val="toc 5"/>
    <w:link w:val="Style_29_ch"/>
    <w:uiPriority w:val="39"/>
    <w:pPr>
      <w:spacing w:after="160" w:line="264" w:lineRule="auto"/>
      <w:ind w:firstLine="0" w:left="800"/>
    </w:pPr>
    <w:rPr>
      <w:sz w:val="22"/>
    </w:rPr>
  </w:style>
  <w:style w:styleId="Style_29_ch" w:type="character">
    <w:name w:val="toc 5"/>
    <w:link w:val="Style_29"/>
    <w:rPr>
      <w:sz w:val="22"/>
    </w:rPr>
  </w:style>
  <w:style w:styleId="Style_30" w:type="paragraph">
    <w:name w:val="Normal1"/>
    <w:link w:val="Style_30_ch"/>
    <w:rPr>
      <w:rFonts w:ascii="Times New Roman" w:hAnsi="Times New Roman"/>
      <w:sz w:val="24"/>
    </w:rPr>
  </w:style>
  <w:style w:styleId="Style_30_ch" w:type="character">
    <w:name w:val="Normal1"/>
    <w:link w:val="Style_30"/>
    <w:rPr>
      <w:rFonts w:ascii="Times New Roman" w:hAnsi="Times New Roman"/>
      <w:sz w:val="24"/>
    </w:rPr>
  </w:style>
  <w:style w:styleId="Style_31" w:type="paragraph">
    <w:name w:val="Subtitle"/>
    <w:link w:val="Style_31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link w:val="Style_32_ch"/>
    <w:uiPriority w:val="39"/>
    <w:pPr>
      <w:spacing w:after="160" w:line="264" w:lineRule="auto"/>
      <w:ind w:firstLine="0" w:left="1800"/>
    </w:pPr>
    <w:rPr>
      <w:sz w:val="22"/>
    </w:rPr>
  </w:style>
  <w:style w:styleId="Style_32_ch" w:type="character">
    <w:name w:val="toc 10"/>
    <w:link w:val="Style_32"/>
    <w:rPr>
      <w:sz w:val="22"/>
    </w:rPr>
  </w:style>
  <w:style w:styleId="Style_33" w:type="paragraph">
    <w:name w:val="Title"/>
    <w:link w:val="Style_33_ch"/>
    <w:uiPriority w:val="10"/>
    <w:qFormat/>
    <w:pPr>
      <w:spacing w:after="160" w:line="264" w:lineRule="auto"/>
      <w:ind/>
    </w:pPr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link w:val="Style_34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link w:val="Style_35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2022-09-16T09:28:23Z</dcterms:modified>
</cp:coreProperties>
</file>