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x14="http://schemas.microsoft.com/office/spreadsheetml/2009/9/main" xmlns:xdr="http://schemas.openxmlformats.org/drawingml/2006/spreadsheetDrawing" xmlns:xml="http://www.w3.org/XML/1998/namespace" mc:Ignorable="co w14 x14 w15">
  <w:body>
    <w:p w14:paraId="01000000">
      <w:pPr>
        <w:ind/>
        <w:jc w:val="center"/>
        <w:rPr>
          <w:rFonts w:ascii="PT Astra Serif" w:hAnsi="PT Astra Serif"/>
          <w:b w:val="1"/>
          <w:sz w:val="28"/>
        </w:rPr>
      </w:pPr>
    </w:p>
    <w:p w14:paraId="02000000">
      <w:pPr>
        <w:ind/>
        <w:jc w:val="center"/>
        <w:rPr>
          <w:rFonts w:ascii="PT Astra Serif" w:hAnsi="PT Astra Serif"/>
          <w:b w:val="1"/>
          <w:sz w:val="28"/>
        </w:rPr>
      </w:pPr>
      <w:r>
        <w:rPr>
          <w:rFonts w:ascii="PT Astra Serif" w:hAnsi="PT Astra Serif"/>
          <w:b w:val="1"/>
          <w:sz w:val="28"/>
        </w:rPr>
        <w:t xml:space="preserve">Результаты аукциона от </w:t>
      </w:r>
      <w:r>
        <w:rPr>
          <w:rFonts w:ascii="PT Astra Serif" w:hAnsi="PT Astra Serif"/>
          <w:b w:val="1"/>
          <w:sz w:val="28"/>
        </w:rPr>
        <w:t xml:space="preserve">08 сентября 2020 </w:t>
      </w:r>
      <w:r>
        <w:rPr>
          <w:rFonts w:ascii="PT Astra Serif" w:hAnsi="PT Astra Serif"/>
          <w:b w:val="1"/>
          <w:sz w:val="28"/>
        </w:rPr>
        <w:t>года</w:t>
      </w:r>
    </w:p>
    <w:p w14:paraId="03000000">
      <w:pPr>
        <w:ind/>
        <w:jc w:val="center"/>
        <w:rPr>
          <w:rFonts w:ascii="PT Astra Serif" w:hAnsi="PT Astra Serif"/>
          <w:b w:val="1"/>
          <w:sz w:val="28"/>
        </w:rPr>
      </w:pPr>
    </w:p>
    <w:p w14:paraId="04000000">
      <w:pPr>
        <w:ind w:firstLine="708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Комитет по управлению имуществом Курской области сообщает о результатах аукциона </w:t>
      </w:r>
      <w:r>
        <w:rPr>
          <w:rFonts w:ascii="PT Astra Serif" w:hAnsi="PT Astra Serif"/>
          <w:sz w:val="28"/>
        </w:rPr>
        <w:t>на</w:t>
      </w:r>
      <w:r>
        <w:rPr>
          <w:rFonts w:ascii="PT Astra Serif" w:hAnsi="PT Astra Serif"/>
          <w:sz w:val="28"/>
        </w:rPr>
        <w:t xml:space="preserve"> прав</w:t>
      </w:r>
      <w:r>
        <w:rPr>
          <w:rFonts w:ascii="PT Astra Serif" w:hAnsi="PT Astra Serif"/>
          <w:sz w:val="28"/>
        </w:rPr>
        <w:t>о</w:t>
      </w:r>
      <w:r>
        <w:rPr>
          <w:rFonts w:ascii="PT Astra Serif" w:hAnsi="PT Astra Serif"/>
          <w:sz w:val="28"/>
        </w:rPr>
        <w:t xml:space="preserve"> заключ</w:t>
      </w:r>
      <w:r>
        <w:rPr>
          <w:rFonts w:ascii="PT Astra Serif" w:hAnsi="PT Astra Serif"/>
          <w:sz w:val="28"/>
        </w:rPr>
        <w:t>ени</w:t>
      </w:r>
      <w:r>
        <w:rPr>
          <w:rFonts w:ascii="PT Astra Serif" w:hAnsi="PT Astra Serif"/>
          <w:sz w:val="28"/>
        </w:rPr>
        <w:t>я</w:t>
      </w:r>
      <w:r>
        <w:rPr>
          <w:rFonts w:ascii="PT Astra Serif" w:hAnsi="PT Astra Serif"/>
          <w:sz w:val="28"/>
        </w:rPr>
        <w:t xml:space="preserve"> договоров аренды земельных участков, назначенного н</w:t>
      </w:r>
      <w:r>
        <w:rPr>
          <w:rFonts w:ascii="PT Astra Serif" w:hAnsi="PT Astra Serif"/>
          <w:sz w:val="28"/>
        </w:rPr>
        <w:t xml:space="preserve">а </w:t>
      </w:r>
      <w:r>
        <w:rPr>
          <w:rFonts w:ascii="PT Astra Serif" w:hAnsi="PT Astra Serif"/>
          <w:sz w:val="28"/>
        </w:rPr>
        <w:t xml:space="preserve">08 </w:t>
      </w:r>
      <w:r>
        <w:rPr>
          <w:rFonts w:ascii="PT Astra Serif" w:hAnsi="PT Astra Serif"/>
          <w:sz w:val="28"/>
        </w:rPr>
        <w:t>сентября 2020 года в соответствии с решениями комитета по управл</w:t>
      </w:r>
      <w:r>
        <w:rPr>
          <w:rFonts w:ascii="PT Astra Serif" w:hAnsi="PT Astra Serif"/>
          <w:sz w:val="28"/>
        </w:rPr>
        <w:t>ению имуществом Курской области</w:t>
      </w:r>
      <w:r>
        <w:rPr>
          <w:rFonts w:ascii="PT Astra Serif" w:hAnsi="PT Astra Serif"/>
          <w:sz w:val="28"/>
        </w:rPr>
        <w:t xml:space="preserve"> </w:t>
      </w:r>
      <w:r>
        <w:rPr>
          <w:rFonts w:ascii="PT Astra Serif" w:hAnsi="PT Astra Serif"/>
          <w:color w:val="000000"/>
          <w:sz w:val="28"/>
        </w:rPr>
        <w:t xml:space="preserve">от </w:t>
      </w:r>
      <w:r>
        <w:rPr>
          <w:rFonts w:ascii="PT Astra Serif" w:hAnsi="PT Astra Serif"/>
          <w:color w:val="000000"/>
          <w:sz w:val="28"/>
        </w:rPr>
        <w:t>06.08</w:t>
      </w:r>
      <w:r>
        <w:rPr>
          <w:rFonts w:ascii="PT Astra Serif" w:hAnsi="PT Astra Serif"/>
          <w:color w:val="000000"/>
          <w:sz w:val="28"/>
        </w:rPr>
        <w:t>.2020 №01.01-17/</w:t>
      </w:r>
      <w:r>
        <w:rPr>
          <w:rFonts w:ascii="PT Astra Serif" w:hAnsi="PT Astra Serif"/>
          <w:color w:val="000000"/>
          <w:sz w:val="28"/>
        </w:rPr>
        <w:t>551</w:t>
      </w:r>
      <w:r>
        <w:rPr>
          <w:rFonts w:ascii="PT Astra Serif" w:hAnsi="PT Astra Serif"/>
          <w:color w:val="000000"/>
          <w:sz w:val="28"/>
        </w:rPr>
        <w:t>, №01.01-17/</w:t>
      </w:r>
      <w:r>
        <w:rPr>
          <w:rFonts w:ascii="PT Astra Serif" w:hAnsi="PT Astra Serif"/>
          <w:color w:val="000000"/>
          <w:sz w:val="28"/>
        </w:rPr>
        <w:t>552</w:t>
      </w:r>
      <w:r>
        <w:rPr>
          <w:rFonts w:ascii="PT Astra Serif" w:hAnsi="PT Astra Serif"/>
          <w:color w:val="000000"/>
          <w:sz w:val="28"/>
        </w:rPr>
        <w:t xml:space="preserve">, </w:t>
      </w:r>
      <w:r>
        <w:rPr>
          <w:rFonts w:ascii="PT Astra Serif" w:hAnsi="PT Astra Serif"/>
          <w:color w:val="000000"/>
          <w:sz w:val="28"/>
        </w:rPr>
        <w:t>№01.01-17/</w:t>
      </w:r>
      <w:r>
        <w:rPr>
          <w:rFonts w:ascii="PT Astra Serif" w:hAnsi="PT Astra Serif"/>
          <w:color w:val="000000"/>
          <w:sz w:val="28"/>
        </w:rPr>
        <w:t>553</w:t>
      </w:r>
      <w:r>
        <w:rPr>
          <w:rFonts w:ascii="PT Astra Serif" w:hAnsi="PT Astra Serif"/>
          <w:color w:val="000000"/>
          <w:sz w:val="28"/>
        </w:rPr>
        <w:t>, №01.01-17/</w:t>
      </w:r>
      <w:r>
        <w:rPr>
          <w:rFonts w:ascii="PT Astra Serif" w:hAnsi="PT Astra Serif"/>
          <w:color w:val="000000"/>
          <w:sz w:val="28"/>
        </w:rPr>
        <w:t>554</w:t>
      </w:r>
      <w:r>
        <w:rPr>
          <w:rFonts w:ascii="PT Astra Serif" w:hAnsi="PT Astra Serif"/>
          <w:sz w:val="28"/>
        </w:rPr>
        <w:t>.</w:t>
      </w:r>
    </w:p>
    <w:p w14:paraId="05000000">
      <w:pPr>
        <w:ind w:firstLine="567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 w:val="1"/>
          <w:sz w:val="28"/>
        </w:rPr>
        <w:t>Лот № 1</w:t>
      </w:r>
      <w:r>
        <w:rPr>
          <w:rFonts w:ascii="PT Astra Serif" w:hAnsi="PT Astra Serif"/>
          <w:sz w:val="28"/>
        </w:rPr>
        <w:t xml:space="preserve"> – </w:t>
      </w:r>
      <w:r>
        <w:rPr>
          <w:rFonts w:ascii="PT Astra Serif" w:hAnsi="PT Astra Serif"/>
          <w:sz w:val="28"/>
        </w:rPr>
        <w:t>пра</w:t>
      </w:r>
      <w:r>
        <w:rPr>
          <w:rFonts w:ascii="PT Astra Serif" w:hAnsi="PT Astra Serif"/>
          <w:sz w:val="28"/>
        </w:rPr>
        <w:t xml:space="preserve">во на заключение договора аренды земельного участка </w:t>
      </w:r>
      <w:r>
        <w:rPr>
          <w:rFonts w:ascii="PT Astra Serif" w:hAnsi="PT Astra Serif"/>
          <w:sz w:val="28"/>
        </w:rPr>
        <w:t>с кадастровым номером 4</w:t>
      </w:r>
      <w:r>
        <w:rPr>
          <w:rFonts w:ascii="PT Astra Serif" w:hAnsi="PT Astra Serif"/>
          <w:color w:val="000000"/>
          <w:sz w:val="28"/>
        </w:rPr>
        <w:t>6:29:</w:t>
      </w:r>
      <w:r>
        <w:rPr>
          <w:rFonts w:ascii="PT Astra Serif" w:hAnsi="PT Astra Serif"/>
          <w:color w:val="000000"/>
          <w:sz w:val="28"/>
        </w:rPr>
        <w:t>102070:43</w:t>
      </w:r>
      <w:r>
        <w:rPr>
          <w:rFonts w:ascii="PT Astra Serif" w:hAnsi="PT Astra Serif"/>
          <w:color w:val="000000"/>
          <w:sz w:val="28"/>
        </w:rPr>
        <w:t xml:space="preserve">, площадью </w:t>
      </w:r>
      <w:r>
        <w:rPr>
          <w:rFonts w:ascii="PT Astra Serif" w:hAnsi="PT Astra Serif"/>
          <w:color w:val="000000"/>
          <w:sz w:val="28"/>
        </w:rPr>
        <w:t>4 678</w:t>
      </w:r>
      <w:r>
        <w:rPr>
          <w:rFonts w:ascii="PT Astra Serif" w:hAnsi="PT Astra Serif"/>
          <w:color w:val="000000"/>
          <w:sz w:val="28"/>
        </w:rPr>
        <w:t xml:space="preserve"> </w:t>
      </w:r>
      <w:r>
        <w:rPr>
          <w:rFonts w:ascii="PT Astra Serif" w:hAnsi="PT Astra Serif"/>
          <w:color w:val="000000"/>
          <w:sz w:val="28"/>
        </w:rPr>
        <w:t>кв.м</w:t>
      </w:r>
      <w:r>
        <w:rPr>
          <w:rFonts w:ascii="PT Astra Serif" w:hAnsi="PT Astra Serif"/>
          <w:color w:val="000000"/>
          <w:sz w:val="28"/>
        </w:rPr>
        <w:t xml:space="preserve">., из категории земель населенных пунктов, расположенного по адресу: Курская обл.,                       г. Курск, ул. </w:t>
      </w:r>
      <w:r>
        <w:rPr>
          <w:rFonts w:ascii="PT Astra Serif" w:hAnsi="PT Astra Serif"/>
          <w:color w:val="000000"/>
          <w:sz w:val="28"/>
        </w:rPr>
        <w:t>50 лет Октября</w:t>
      </w:r>
      <w:r>
        <w:rPr>
          <w:rFonts w:ascii="PT Astra Serif" w:hAnsi="PT Astra Serif"/>
          <w:color w:val="000000"/>
          <w:sz w:val="28"/>
        </w:rPr>
        <w:t>, для</w:t>
      </w:r>
      <w:r>
        <w:rPr>
          <w:rFonts w:ascii="PT Astra Serif" w:hAnsi="PT Astra Serif"/>
          <w:color w:val="000000"/>
          <w:sz w:val="28"/>
        </w:rPr>
        <w:t xml:space="preserve"> целей, не связанных со строительством, с видом разрешенного использования земельного участка – «обслуживание автотранспорта»</w:t>
      </w:r>
      <w:r>
        <w:rPr>
          <w:rFonts w:ascii="PT Astra Serif" w:hAnsi="PT Astra Serif"/>
          <w:color w:val="000000"/>
          <w:spacing w:val="0"/>
          <w:sz w:val="28"/>
        </w:rPr>
        <w:t xml:space="preserve">. </w:t>
      </w:r>
    </w:p>
    <w:p w14:paraId="06000000">
      <w:pPr>
        <w:ind w:firstLine="540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В соответствии с Протоколом о результатах аукциона </w:t>
      </w:r>
      <w:r>
        <w:rPr>
          <w:rFonts w:ascii="PT Astra Serif" w:hAnsi="PT Astra Serif"/>
          <w:sz w:val="28"/>
        </w:rPr>
        <w:t xml:space="preserve">от 08.09.2020,                   </w:t>
      </w:r>
      <w:r>
        <w:rPr>
          <w:rFonts w:ascii="PT Astra Serif" w:hAnsi="PT Astra Serif"/>
          <w:sz w:val="28"/>
        </w:rPr>
        <w:t>п</w:t>
      </w:r>
      <w:r>
        <w:rPr>
          <w:rFonts w:ascii="PT Astra Serif" w:hAnsi="PT Astra Serif"/>
          <w:sz w:val="28"/>
        </w:rPr>
        <w:t xml:space="preserve">. 19 ст. 39.12 Земельного кодекса Российской Федерации </w:t>
      </w:r>
      <w:r>
        <w:rPr>
          <w:rFonts w:ascii="PT Astra Serif" w:hAnsi="PT Astra Serif"/>
          <w:sz w:val="28"/>
        </w:rPr>
        <w:t xml:space="preserve">аукцион </w:t>
      </w:r>
      <w:r>
        <w:rPr>
          <w:rFonts w:ascii="PT Astra Serif" w:hAnsi="PT Astra Serif"/>
          <w:sz w:val="28"/>
        </w:rPr>
        <w:t xml:space="preserve">по Лоту № </w:t>
      </w:r>
      <w:r>
        <w:rPr>
          <w:rFonts w:ascii="PT Astra Serif" w:hAnsi="PT Astra Serif"/>
          <w:sz w:val="28"/>
        </w:rPr>
        <w:t>1</w:t>
      </w:r>
      <w:r>
        <w:rPr>
          <w:rFonts w:ascii="PT Astra Serif" w:hAnsi="PT Astra Serif"/>
          <w:sz w:val="28"/>
        </w:rPr>
        <w:t xml:space="preserve"> признан несостоявшимся в связи с участи</w:t>
      </w:r>
      <w:r>
        <w:rPr>
          <w:rFonts w:ascii="PT Astra Serif" w:hAnsi="PT Astra Serif"/>
          <w:sz w:val="28"/>
        </w:rPr>
        <w:t>ем в аукционе только одного участника</w:t>
      </w:r>
      <w:r>
        <w:rPr>
          <w:rFonts w:ascii="PT Astra Serif" w:hAnsi="PT Astra Serif"/>
          <w:sz w:val="28"/>
        </w:rPr>
        <w:t>.</w:t>
      </w:r>
    </w:p>
    <w:p w14:paraId="07000000">
      <w:pPr>
        <w:ind w:firstLine="567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 w:val="1"/>
          <w:sz w:val="28"/>
        </w:rPr>
        <w:t>Лот № 2</w:t>
      </w:r>
      <w:r>
        <w:rPr>
          <w:rFonts w:ascii="PT Astra Serif" w:hAnsi="PT Astra Serif"/>
          <w:sz w:val="28"/>
        </w:rPr>
        <w:t xml:space="preserve"> – </w:t>
      </w:r>
      <w:r>
        <w:rPr>
          <w:rFonts w:ascii="PT Astra Serif" w:hAnsi="PT Astra Serif"/>
          <w:sz w:val="28"/>
        </w:rPr>
        <w:t>право на</w:t>
      </w:r>
      <w:r>
        <w:rPr>
          <w:rFonts w:ascii="PT Astra Serif" w:hAnsi="PT Astra Serif"/>
          <w:sz w:val="28"/>
        </w:rPr>
        <w:t xml:space="preserve"> заключение договора аренды земельного участка </w:t>
      </w:r>
      <w:r>
        <w:rPr>
          <w:rFonts w:ascii="PT Astra Serif" w:hAnsi="PT Astra Serif"/>
          <w:sz w:val="28"/>
        </w:rPr>
        <w:t xml:space="preserve">с кадастровым номером </w:t>
      </w:r>
      <w:r>
        <w:rPr>
          <w:rFonts w:ascii="PT Astra Serif" w:hAnsi="PT Astra Serif"/>
          <w:color w:val="000000"/>
          <w:spacing w:val="0"/>
          <w:sz w:val="28"/>
        </w:rPr>
        <w:t xml:space="preserve"> </w:t>
      </w:r>
      <w:r>
        <w:rPr>
          <w:rFonts w:ascii="PT Astra Serif" w:hAnsi="PT Astra Serif"/>
          <w:color w:val="000000"/>
          <w:sz w:val="28"/>
        </w:rPr>
        <w:t xml:space="preserve">46:29:102070:42, площадью 2 624 </w:t>
      </w:r>
      <w:r>
        <w:rPr>
          <w:rFonts w:ascii="PT Astra Serif" w:hAnsi="PT Astra Serif"/>
          <w:color w:val="000000"/>
          <w:sz w:val="28"/>
        </w:rPr>
        <w:t>кв.м</w:t>
      </w:r>
      <w:r>
        <w:rPr>
          <w:rFonts w:ascii="PT Astra Serif" w:hAnsi="PT Astra Serif"/>
          <w:color w:val="000000"/>
          <w:sz w:val="28"/>
        </w:rPr>
        <w:t>., из категории земель населенных пунктов, расположенного по адресу: Курская обл.,                    г. Курск, ул. 50 лет Октября, для целей, не связанных со строительством, с видом разрешенного использования земельного участка – «обслуживание автотранспорта»</w:t>
      </w:r>
      <w:r>
        <w:rPr>
          <w:rFonts w:ascii="PT Astra Serif" w:hAnsi="PT Astra Serif"/>
          <w:color w:val="000000"/>
          <w:spacing w:val="0"/>
          <w:sz w:val="28"/>
        </w:rPr>
        <w:t xml:space="preserve">. </w:t>
      </w:r>
    </w:p>
    <w:p w14:paraId="08000000">
      <w:pPr>
        <w:ind w:firstLine="540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В соответствии с Протоколом о результатах аукциона </w:t>
      </w:r>
      <w:r>
        <w:rPr>
          <w:rFonts w:ascii="PT Astra Serif" w:hAnsi="PT Astra Serif"/>
          <w:sz w:val="28"/>
        </w:rPr>
        <w:t>от 08.09.2020,                   п</w:t>
      </w:r>
      <w:r>
        <w:rPr>
          <w:rFonts w:ascii="PT Astra Serif" w:hAnsi="PT Astra Serif"/>
          <w:sz w:val="28"/>
        </w:rPr>
        <w:t>. 19 ст. 39.12 Земельного кодекса Российской Федерации</w:t>
      </w:r>
      <w:r>
        <w:rPr>
          <w:rFonts w:ascii="PT Astra Serif" w:hAnsi="PT Astra Serif"/>
          <w:sz w:val="28"/>
        </w:rPr>
        <w:t xml:space="preserve"> аукцион </w:t>
      </w:r>
      <w:r>
        <w:rPr>
          <w:rFonts w:ascii="PT Astra Serif" w:hAnsi="PT Astra Serif"/>
          <w:sz w:val="28"/>
        </w:rPr>
        <w:t xml:space="preserve">по Лоту № </w:t>
      </w:r>
      <w:r>
        <w:rPr>
          <w:rFonts w:ascii="PT Astra Serif" w:hAnsi="PT Astra Serif"/>
          <w:sz w:val="28"/>
        </w:rPr>
        <w:t>2</w:t>
      </w:r>
      <w:r>
        <w:rPr>
          <w:rFonts w:ascii="PT Astra Serif" w:hAnsi="PT Astra Serif"/>
          <w:sz w:val="28"/>
        </w:rPr>
        <w:t xml:space="preserve"> признан несостоявшимся в связи с отсутствием участников аукциона при проведении аукциона</w:t>
      </w:r>
      <w:r>
        <w:rPr>
          <w:rFonts w:ascii="PT Astra Serif" w:hAnsi="PT Astra Serif"/>
          <w:sz w:val="28"/>
        </w:rPr>
        <w:t>.</w:t>
      </w:r>
    </w:p>
    <w:p w14:paraId="09000000">
      <w:pPr>
        <w:ind w:firstLine="567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 w:val="1"/>
          <w:sz w:val="28"/>
        </w:rPr>
        <w:t>Лот № 3</w:t>
      </w:r>
      <w:r>
        <w:rPr>
          <w:rFonts w:ascii="PT Astra Serif" w:hAnsi="PT Astra Serif"/>
          <w:sz w:val="28"/>
        </w:rPr>
        <w:t xml:space="preserve"> – </w:t>
      </w:r>
      <w:r>
        <w:rPr>
          <w:rFonts w:ascii="PT Astra Serif" w:hAnsi="PT Astra Serif"/>
          <w:sz w:val="28"/>
        </w:rPr>
        <w:t>право</w:t>
      </w:r>
      <w:r>
        <w:rPr>
          <w:rFonts w:ascii="PT Astra Serif" w:hAnsi="PT Astra Serif"/>
          <w:sz w:val="28"/>
        </w:rPr>
        <w:t xml:space="preserve"> на заключение договора аренды земельного участка </w:t>
      </w:r>
      <w:r>
        <w:rPr>
          <w:rFonts w:ascii="PT Astra Serif" w:hAnsi="PT Astra Serif"/>
          <w:sz w:val="28"/>
        </w:rPr>
        <w:t xml:space="preserve">с кадастровым номером </w:t>
      </w:r>
      <w:r>
        <w:rPr>
          <w:rFonts w:ascii="PT Astra Serif" w:hAnsi="PT Astra Serif"/>
          <w:color w:val="000000"/>
          <w:spacing w:val="0"/>
          <w:sz w:val="28"/>
        </w:rPr>
        <w:t xml:space="preserve"> </w:t>
      </w:r>
      <w:r>
        <w:rPr>
          <w:rFonts w:ascii="PT Astra Serif" w:hAnsi="PT Astra Serif"/>
          <w:color w:val="000000"/>
          <w:sz w:val="28"/>
        </w:rPr>
        <w:t xml:space="preserve">46:29:102033:2531, площадью 202 </w:t>
      </w:r>
      <w:r>
        <w:rPr>
          <w:rFonts w:ascii="PT Astra Serif" w:hAnsi="PT Astra Serif"/>
          <w:color w:val="000000"/>
          <w:sz w:val="28"/>
        </w:rPr>
        <w:t>кв.м</w:t>
      </w:r>
      <w:r>
        <w:rPr>
          <w:rFonts w:ascii="PT Astra Serif" w:hAnsi="PT Astra Serif"/>
          <w:color w:val="000000"/>
          <w:sz w:val="28"/>
        </w:rPr>
        <w:t>., из категории земель населенных пунктов, расположенного по адресу: Курская обл.,                      г. Курск, ул. Рябиновая, для целей, не связанных со строительством, с видом разрешенного использования земельного участка – «обслуживание автотранспорта»</w:t>
      </w:r>
      <w:r>
        <w:rPr>
          <w:rFonts w:ascii="PT Astra Serif" w:hAnsi="PT Astra Serif"/>
          <w:color w:val="000000"/>
          <w:spacing w:val="0"/>
          <w:sz w:val="28"/>
        </w:rPr>
        <w:t xml:space="preserve">. </w:t>
      </w:r>
    </w:p>
    <w:p w14:paraId="0A000000">
      <w:pPr>
        <w:ind w:firstLine="567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В соответствии </w:t>
      </w:r>
      <w:r>
        <w:rPr>
          <w:rFonts w:ascii="PT Astra Serif" w:hAnsi="PT Astra Serif"/>
          <w:sz w:val="28"/>
        </w:rPr>
        <w:t>с протоколом о</w:t>
      </w:r>
      <w:r>
        <w:rPr>
          <w:rFonts w:ascii="PT Astra Serif" w:hAnsi="PT Astra Serif"/>
          <w:sz w:val="28"/>
        </w:rPr>
        <w:t xml:space="preserve"> рассмотрении заявок и определения участников аукциона от 03.09.20</w:t>
      </w:r>
      <w:r>
        <w:rPr>
          <w:rFonts w:ascii="PT Astra Serif" w:hAnsi="PT Astra Serif"/>
          <w:sz w:val="28"/>
        </w:rPr>
        <w:t>20, п. 14 ст. 39.12 Земельного кодекса Российской Федерации аукцион по Лоту № 3</w:t>
      </w:r>
      <w:r>
        <w:rPr>
          <w:rFonts w:ascii="PT Astra Serif" w:hAnsi="PT Astra Serif"/>
          <w:sz w:val="28"/>
        </w:rPr>
        <w:t xml:space="preserve"> признан несостоявшимся </w:t>
      </w:r>
      <w:r>
        <w:rPr>
          <w:rFonts w:ascii="PT Astra Serif" w:hAnsi="PT Astra Serif"/>
          <w:b w:val="0"/>
          <w:sz w:val="28"/>
        </w:rPr>
        <w:t xml:space="preserve"> в связи с подачей одной заявк</w:t>
      </w:r>
      <w:r>
        <w:rPr>
          <w:rFonts w:ascii="PT Astra Serif" w:hAnsi="PT Astra Serif"/>
          <w:b w:val="0"/>
          <w:sz w:val="28"/>
        </w:rPr>
        <w:t xml:space="preserve">и на участие </w:t>
      </w:r>
      <w:r>
        <w:rPr>
          <w:rFonts w:ascii="PT Astra Serif" w:hAnsi="PT Astra Serif"/>
          <w:b w:val="0"/>
          <w:sz w:val="28"/>
        </w:rPr>
        <w:t>в аукционе.</w:t>
      </w:r>
    </w:p>
    <w:p w14:paraId="0B000000">
      <w:pPr>
        <w:ind w:firstLine="567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 w:val="1"/>
          <w:sz w:val="28"/>
        </w:rPr>
        <w:t xml:space="preserve">Лот № </w:t>
      </w:r>
      <w:r>
        <w:rPr>
          <w:rFonts w:ascii="PT Astra Serif" w:hAnsi="PT Astra Serif"/>
          <w:b w:val="1"/>
          <w:sz w:val="28"/>
        </w:rPr>
        <w:t>4</w:t>
      </w:r>
      <w:r>
        <w:rPr>
          <w:rFonts w:ascii="PT Astra Serif" w:hAnsi="PT Astra Serif"/>
          <w:sz w:val="28"/>
        </w:rPr>
        <w:t xml:space="preserve"> –</w:t>
      </w:r>
      <w:r>
        <w:rPr>
          <w:rFonts w:ascii="PT Astra Serif" w:hAnsi="PT Astra Serif"/>
          <w:sz w:val="28"/>
        </w:rPr>
        <w:t xml:space="preserve"> </w:t>
      </w:r>
      <w:r>
        <w:rPr>
          <w:rFonts w:ascii="PT Astra Serif" w:hAnsi="PT Astra Serif"/>
          <w:sz w:val="28"/>
        </w:rPr>
        <w:t xml:space="preserve">право на заключение договора аренды земельного участка </w:t>
      </w:r>
      <w:r>
        <w:rPr>
          <w:rFonts w:ascii="PT Astra Serif" w:hAnsi="PT Astra Serif"/>
          <w:sz w:val="28"/>
        </w:rPr>
        <w:t xml:space="preserve">с кадастровым номером </w:t>
      </w:r>
      <w:r>
        <w:rPr>
          <w:rFonts w:ascii="PT Astra Serif" w:hAnsi="PT Astra Serif"/>
          <w:color w:val="000000"/>
          <w:sz w:val="28"/>
        </w:rPr>
        <w:t>46:29:</w:t>
      </w:r>
      <w:r>
        <w:rPr>
          <w:rFonts w:ascii="PT Astra Serif" w:hAnsi="PT Astra Serif"/>
          <w:color w:val="000000"/>
          <w:sz w:val="28"/>
        </w:rPr>
        <w:t>103029:701</w:t>
      </w:r>
      <w:r>
        <w:rPr>
          <w:rFonts w:ascii="PT Astra Serif" w:hAnsi="PT Astra Serif"/>
          <w:color w:val="000000"/>
          <w:sz w:val="28"/>
        </w:rPr>
        <w:t xml:space="preserve">, площадью </w:t>
      </w:r>
      <w:r>
        <w:rPr>
          <w:rFonts w:ascii="PT Astra Serif" w:hAnsi="PT Astra Serif"/>
          <w:color w:val="000000"/>
          <w:sz w:val="28"/>
        </w:rPr>
        <w:t>1 718</w:t>
      </w:r>
      <w:r>
        <w:rPr>
          <w:rFonts w:ascii="PT Astra Serif" w:hAnsi="PT Astra Serif"/>
          <w:color w:val="000000"/>
          <w:sz w:val="28"/>
        </w:rPr>
        <w:t xml:space="preserve"> </w:t>
      </w:r>
      <w:r>
        <w:rPr>
          <w:rFonts w:ascii="PT Astra Serif" w:hAnsi="PT Astra Serif"/>
          <w:color w:val="000000"/>
          <w:sz w:val="28"/>
        </w:rPr>
        <w:t>кв.м</w:t>
      </w:r>
      <w:r>
        <w:rPr>
          <w:rFonts w:ascii="PT Astra Serif" w:hAnsi="PT Astra Serif"/>
          <w:color w:val="000000"/>
          <w:sz w:val="28"/>
        </w:rPr>
        <w:t xml:space="preserve">., из категории земель населенных пунктов, расположенного по адресу: Курская обл.,                    г. Курск, </w:t>
      </w:r>
      <w:r>
        <w:rPr>
          <w:rFonts w:ascii="PT Astra Serif" w:hAnsi="PT Astra Serif"/>
          <w:color w:val="000000"/>
          <w:sz w:val="28"/>
        </w:rPr>
        <w:t>ул. Энгельса</w:t>
      </w:r>
      <w:r>
        <w:rPr>
          <w:rFonts w:ascii="PT Astra Serif" w:hAnsi="PT Astra Serif"/>
          <w:color w:val="000000"/>
          <w:sz w:val="28"/>
        </w:rPr>
        <w:t>, для целей, не связанных со строительством, с видом разрешенного использования земельного участка – «</w:t>
      </w:r>
      <w:r>
        <w:rPr>
          <w:rFonts w:ascii="PT Astra Serif" w:hAnsi="PT Astra Serif"/>
          <w:color w:val="000000"/>
          <w:sz w:val="28"/>
        </w:rPr>
        <w:t>автомобильный транспорт</w:t>
      </w:r>
      <w:r>
        <w:rPr>
          <w:rFonts w:ascii="PT Astra Serif" w:hAnsi="PT Astra Serif"/>
          <w:color w:val="000000"/>
          <w:sz w:val="28"/>
        </w:rPr>
        <w:t>»</w:t>
      </w:r>
      <w:r>
        <w:rPr>
          <w:rFonts w:ascii="PT Astra Serif" w:hAnsi="PT Astra Serif"/>
          <w:color w:val="000000"/>
          <w:spacing w:val="0"/>
          <w:sz w:val="28"/>
        </w:rPr>
        <w:t xml:space="preserve">. </w:t>
      </w:r>
    </w:p>
    <w:p w14:paraId="0C000000">
      <w:pPr>
        <w:ind w:firstLine="540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В соответствии с Прот</w:t>
      </w:r>
      <w:r>
        <w:rPr>
          <w:rFonts w:ascii="PT Astra Serif" w:hAnsi="PT Astra Serif"/>
          <w:sz w:val="28"/>
        </w:rPr>
        <w:t xml:space="preserve">околом о результатах аукциона </w:t>
      </w:r>
      <w:r>
        <w:rPr>
          <w:rFonts w:ascii="PT Astra Serif" w:hAnsi="PT Astra Serif"/>
          <w:sz w:val="28"/>
        </w:rPr>
        <w:t>от 08.09.2020,                   п</w:t>
      </w:r>
      <w:r>
        <w:rPr>
          <w:rFonts w:ascii="PT Astra Serif" w:hAnsi="PT Astra Serif"/>
          <w:sz w:val="28"/>
        </w:rPr>
        <w:t>. 19 ст. 39.12 Земельного кодекса Российской Федерации</w:t>
      </w:r>
      <w:r>
        <w:rPr>
          <w:rFonts w:ascii="PT Astra Serif" w:hAnsi="PT Astra Serif"/>
          <w:sz w:val="28"/>
        </w:rPr>
        <w:t xml:space="preserve"> аукцион </w:t>
      </w:r>
      <w:r>
        <w:rPr>
          <w:rFonts w:ascii="PT Astra Serif" w:hAnsi="PT Astra Serif"/>
          <w:sz w:val="28"/>
        </w:rPr>
        <w:t xml:space="preserve">по Лоту № </w:t>
      </w:r>
      <w:r>
        <w:rPr>
          <w:rFonts w:ascii="PT Astra Serif" w:hAnsi="PT Astra Serif"/>
          <w:sz w:val="28"/>
        </w:rPr>
        <w:t>4</w:t>
      </w:r>
      <w:r>
        <w:rPr>
          <w:rFonts w:ascii="PT Astra Serif" w:hAnsi="PT Astra Serif"/>
          <w:sz w:val="28"/>
        </w:rPr>
        <w:t xml:space="preserve"> признан несостоявшимся в связи с отсутствием участников аукциона при проведении аукциона</w:t>
      </w:r>
      <w:r>
        <w:rPr>
          <w:rFonts w:ascii="PT Astra Serif" w:hAnsi="PT Astra Serif"/>
          <w:sz w:val="28"/>
        </w:rPr>
        <w:t>.</w:t>
      </w:r>
    </w:p>
    <w:p w14:paraId="0D000000">
      <w:pPr>
        <w:ind w:firstLine="567" w:left="0"/>
        <w:jc w:val="both"/>
        <w:rPr>
          <w:rFonts w:ascii="PT Astra Serif" w:hAnsi="PT Astra Serif"/>
          <w:sz w:val="28"/>
        </w:rPr>
      </w:pPr>
    </w:p>
    <w:sectPr>
      <w:pgSz w:h="16838" w:w="11906"/>
      <w:pgMar w:bottom="255" w:footer="708" w:gutter="0" w:header="708" w:left="1701" w:right="850" w:top="28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x14="http://schemas.microsoft.com/office/spreadsheetml/2009/9/main" xmlns:xdr="http://schemas.openxmlformats.org/drawingml/2006/spreadsheetDrawing" xmlns:xml="http://www.w3.org/XML/1998/namespace" mc:Ignorable="co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x14="http://schemas.microsoft.com/office/spreadsheetml/2009/9/main" xmlns:xdr="http://schemas.openxmlformats.org/drawingml/2006/spreadsheetDrawing" xmlns:xml="http://www.w3.org/XML/1998/namespace" mc:Ignorable="co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ing 10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toc 10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after="0" w:line="240" w:lineRule="auto"/>
      <w:ind/>
    </w:pPr>
    <w:rPr>
      <w:rFonts w:ascii="Times New Roman" w:hAnsi="Times New Roman"/>
      <w:sz w:val="24"/>
    </w:rPr>
  </w:style>
  <w:style w:default="1" w:styleId="Style_1_ch" w:type="character">
    <w:name w:val="Normal"/>
    <w:link w:val="Style_1"/>
    <w:rPr>
      <w:rFonts w:ascii="Times New Roman" w:hAnsi="Times New Roman"/>
      <w:sz w:val="24"/>
    </w:rPr>
  </w:style>
  <w:style w:styleId="Style_2" w:type="paragraph">
    <w:name w:val="toc 2"/>
    <w:link w:val="Style_2_ch"/>
    <w:uiPriority w:val="39"/>
    <w:pPr>
      <w:ind w:firstLine="0" w:left="200"/>
    </w:pPr>
  </w:style>
  <w:style w:styleId="Style_2_ch" w:type="character">
    <w:name w:val="toc 2"/>
    <w:link w:val="Style_2"/>
  </w:style>
  <w:style w:styleId="Style_3" w:type="paragraph">
    <w:name w:val="toc 4"/>
    <w:link w:val="Style_3_ch"/>
    <w:uiPriority w:val="39"/>
    <w:pPr>
      <w:ind w:firstLine="0" w:left="600"/>
    </w:pPr>
  </w:style>
  <w:style w:styleId="Style_3_ch" w:type="character">
    <w:name w:val="toc 4"/>
    <w:link w:val="Style_3"/>
  </w:style>
  <w:style w:styleId="Style_4" w:type="paragraph">
    <w:name w:val="toc 6"/>
    <w:link w:val="Style_4_ch"/>
    <w:uiPriority w:val="39"/>
    <w:pPr>
      <w:ind w:firstLine="0" w:left="1000"/>
    </w:pPr>
  </w:style>
  <w:style w:styleId="Style_4_ch" w:type="character">
    <w:name w:val="toc 6"/>
    <w:link w:val="Style_4"/>
  </w:style>
  <w:style w:styleId="Style_5" w:type="paragraph">
    <w:name w:val="toc 7"/>
    <w:link w:val="Style_5_ch"/>
    <w:uiPriority w:val="39"/>
    <w:pPr>
      <w:ind w:firstLine="0" w:left="1200"/>
    </w:pPr>
  </w:style>
  <w:style w:styleId="Style_5_ch" w:type="character">
    <w:name w:val="toc 7"/>
    <w:link w:val="Style_5"/>
  </w:style>
  <w:style w:styleId="Style_6" w:type="paragraph">
    <w:name w:val="heading 3"/>
    <w:link w:val="Style_6_ch"/>
    <w:uiPriority w:val="9"/>
    <w:qFormat/>
    <w:pPr>
      <w:ind/>
      <w:outlineLvl w:val="2"/>
    </w:pPr>
    <w:rPr>
      <w:rFonts w:ascii="XO Thames" w:hAnsi="XO Thames"/>
      <w:b w:val="1"/>
      <w:i w:val="1"/>
      <w:color w:val="000000"/>
    </w:rPr>
  </w:style>
  <w:style w:styleId="Style_6_ch" w:type="character">
    <w:name w:val="heading 3"/>
    <w:link w:val="Style_6"/>
    <w:rPr>
      <w:rFonts w:ascii="XO Thames" w:hAnsi="XO Thames"/>
      <w:b w:val="1"/>
      <w:i w:val="1"/>
      <w:color w:val="000000"/>
    </w:rPr>
  </w:style>
  <w:style w:styleId="Style_7" w:type="paragraph">
    <w:name w:val="Balloon Text"/>
    <w:basedOn w:val="Style_1"/>
    <w:link w:val="Style_7_ch"/>
    <w:rPr>
      <w:rFonts w:ascii="Segoe UI" w:hAnsi="Segoe UI"/>
      <w:sz w:val="18"/>
    </w:rPr>
  </w:style>
  <w:style w:styleId="Style_7_ch" w:type="character">
    <w:name w:val="Balloon Text"/>
    <w:basedOn w:val="Style_1_ch"/>
    <w:link w:val="Style_7"/>
    <w:rPr>
      <w:rFonts w:ascii="Segoe UI" w:hAnsi="Segoe UI"/>
      <w:sz w:val="18"/>
    </w:rPr>
  </w:style>
  <w:style w:styleId="Style_8" w:type="paragraph">
    <w:name w:val="header"/>
    <w:basedOn w:val="Style_1"/>
    <w:link w:val="Style_8_ch"/>
    <w:pPr>
      <w:tabs>
        <w:tab w:leader="none" w:pos="4677" w:val="center"/>
        <w:tab w:leader="none" w:pos="9355" w:val="right"/>
      </w:tabs>
      <w:ind/>
    </w:pPr>
  </w:style>
  <w:style w:styleId="Style_8_ch" w:type="character">
    <w:name w:val="header"/>
    <w:basedOn w:val="Style_1_ch"/>
    <w:link w:val="Style_8"/>
  </w:style>
  <w:style w:styleId="Style_9" w:type="paragraph">
    <w:name w:val="toc 3"/>
    <w:link w:val="Style_9_ch"/>
    <w:uiPriority w:val="39"/>
    <w:pPr>
      <w:ind w:firstLine="0" w:left="400"/>
    </w:pPr>
  </w:style>
  <w:style w:styleId="Style_9_ch" w:type="character">
    <w:name w:val="toc 3"/>
    <w:link w:val="Style_9"/>
  </w:style>
  <w:style w:styleId="Style_10" w:type="paragraph">
    <w:name w:val="heading 5"/>
    <w:link w:val="Style_10_ch"/>
    <w:uiPriority w:val="9"/>
    <w:qFormat/>
    <w:pPr>
      <w:spacing w:after="120" w:before="120"/>
      <w:ind/>
      <w:outlineLvl w:val="4"/>
    </w:pPr>
    <w:rPr>
      <w:rFonts w:ascii="XO Thames" w:hAnsi="XO Thames"/>
      <w:b w:val="1"/>
      <w:color w:val="000000"/>
      <w:sz w:val="22"/>
    </w:rPr>
  </w:style>
  <w:style w:styleId="Style_10_ch" w:type="character">
    <w:name w:val="heading 5"/>
    <w:link w:val="Style_10"/>
    <w:rPr>
      <w:rFonts w:ascii="XO Thames" w:hAnsi="XO Thames"/>
      <w:b w:val="1"/>
      <w:color w:val="000000"/>
      <w:sz w:val="22"/>
    </w:rPr>
  </w:style>
  <w:style w:styleId="Style_11" w:type="paragraph">
    <w:name w:val="heading 1"/>
    <w:link w:val="Style_11_ch"/>
    <w:uiPriority w:val="9"/>
    <w:qFormat/>
    <w:pPr>
      <w:spacing w:after="120" w:before="120"/>
      <w:ind/>
      <w:outlineLvl w:val="0"/>
    </w:pPr>
    <w:rPr>
      <w:rFonts w:ascii="XO Thames" w:hAnsi="XO Thames"/>
      <w:b w:val="1"/>
      <w:sz w:val="32"/>
    </w:rPr>
  </w:style>
  <w:style w:styleId="Style_11_ch" w:type="character">
    <w:name w:val="heading 1"/>
    <w:link w:val="Style_11"/>
    <w:rPr>
      <w:rFonts w:ascii="XO Thames" w:hAnsi="XO Thames"/>
      <w:b w:val="1"/>
      <w:sz w:val="32"/>
    </w:rPr>
  </w:style>
  <w:style w:styleId="Style_12" w:type="paragraph">
    <w:name w:val="footer"/>
    <w:basedOn w:val="Style_1"/>
    <w:link w:val="Style_12_ch"/>
    <w:pPr>
      <w:tabs>
        <w:tab w:leader="none" w:pos="4677" w:val="center"/>
        <w:tab w:leader="none" w:pos="9355" w:val="right"/>
      </w:tabs>
      <w:ind/>
    </w:pPr>
  </w:style>
  <w:style w:styleId="Style_12_ch" w:type="character">
    <w:name w:val="footer"/>
    <w:basedOn w:val="Style_1_ch"/>
    <w:link w:val="Style_12"/>
  </w:style>
  <w:style w:styleId="Style_13" w:type="paragraph">
    <w:name w:val="Hyperlink"/>
    <w:link w:val="Style_13_ch"/>
    <w:rPr>
      <w:color w:val="0000FF"/>
      <w:u w:val="single"/>
    </w:rPr>
  </w:style>
  <w:style w:styleId="Style_13_ch" w:type="character">
    <w:name w:val="Hyperlink"/>
    <w:link w:val="Style_13"/>
    <w:rPr>
      <w:color w:val="0000FF"/>
      <w:u w:val="single"/>
    </w:rPr>
  </w:style>
  <w:style w:styleId="Style_14" w:type="paragraph">
    <w:name w:val="Footnote"/>
    <w:link w:val="Style_14_ch"/>
    <w:pPr>
      <w:ind/>
      <w:jc w:val="left"/>
    </w:pPr>
    <w:rPr>
      <w:rFonts w:ascii="XO Thames" w:hAnsi="XO Thames"/>
      <w:sz w:val="22"/>
    </w:rPr>
  </w:style>
  <w:style w:styleId="Style_14_ch" w:type="character">
    <w:name w:val="Footnote"/>
    <w:link w:val="Style_14"/>
    <w:rPr>
      <w:rFonts w:ascii="XO Thames" w:hAnsi="XO Thames"/>
      <w:sz w:val="22"/>
    </w:rPr>
  </w:style>
  <w:style w:styleId="Style_15" w:type="paragraph">
    <w:name w:val="toc 1"/>
    <w:link w:val="Style_15_ch"/>
    <w:uiPriority w:val="39"/>
    <w:pPr>
      <w:ind w:firstLine="0" w:left="0"/>
    </w:pPr>
    <w:rPr>
      <w:rFonts w:ascii="XO Thames" w:hAnsi="XO Thames"/>
      <w:b w:val="1"/>
    </w:rPr>
  </w:style>
  <w:style w:styleId="Style_15_ch" w:type="character">
    <w:name w:val="toc 1"/>
    <w:link w:val="Style_15"/>
    <w:rPr>
      <w:rFonts w:ascii="XO Thames" w:hAnsi="XO Thames"/>
      <w:b w:val="1"/>
    </w:rPr>
  </w:style>
  <w:style w:styleId="Style_16" w:type="paragraph">
    <w:name w:val="Header and Footer"/>
    <w:link w:val="Style_16_ch"/>
    <w:pPr>
      <w:spacing w:line="360" w:lineRule="auto"/>
      <w:ind/>
    </w:pPr>
    <w:rPr>
      <w:rFonts w:ascii="XO Thames" w:hAnsi="XO Thames"/>
      <w:sz w:val="20"/>
    </w:rPr>
  </w:style>
  <w:style w:styleId="Style_16_ch" w:type="character">
    <w:name w:val="Header and Footer"/>
    <w:link w:val="Style_16"/>
    <w:rPr>
      <w:rFonts w:ascii="XO Thames" w:hAnsi="XO Thames"/>
      <w:sz w:val="20"/>
    </w:rPr>
  </w:style>
  <w:style w:styleId="Style_17" w:type="paragraph">
    <w:name w:val="toc 9"/>
    <w:link w:val="Style_17_ch"/>
    <w:uiPriority w:val="39"/>
    <w:pPr>
      <w:ind w:firstLine="0" w:left="1600"/>
    </w:pPr>
  </w:style>
  <w:style w:styleId="Style_17_ch" w:type="character">
    <w:name w:val="toc 9"/>
    <w:link w:val="Style_17"/>
  </w:style>
  <w:style w:styleId="Style_18" w:type="paragraph">
    <w:name w:val="toc 8"/>
    <w:link w:val="Style_18_ch"/>
    <w:uiPriority w:val="39"/>
    <w:pPr>
      <w:ind w:firstLine="0" w:left="1400"/>
    </w:pPr>
  </w:style>
  <w:style w:styleId="Style_18_ch" w:type="character">
    <w:name w:val="toc 8"/>
    <w:link w:val="Style_18"/>
  </w:style>
  <w:style w:styleId="Style_19" w:type="paragraph">
    <w:name w:val="Default Paragraph Font"/>
    <w:link w:val="Style_19_ch"/>
  </w:style>
  <w:style w:styleId="Style_19_ch" w:type="character">
    <w:name w:val="Default Paragraph Font"/>
    <w:link w:val="Style_19"/>
  </w:style>
  <w:style w:styleId="Style_20" w:type="paragraph">
    <w:name w:val="toc 5"/>
    <w:link w:val="Style_20_ch"/>
    <w:uiPriority w:val="39"/>
    <w:pPr>
      <w:ind w:firstLine="0" w:left="800"/>
    </w:pPr>
  </w:style>
  <w:style w:styleId="Style_20_ch" w:type="character">
    <w:name w:val="toc 5"/>
    <w:link w:val="Style_20"/>
  </w:style>
  <w:style w:styleId="Style_21" w:type="paragraph">
    <w:name w:val="Subtitle"/>
    <w:link w:val="Style_21_ch"/>
    <w:uiPriority w:val="11"/>
    <w:qFormat/>
    <w:rPr>
      <w:rFonts w:ascii="XO Thames" w:hAnsi="XO Thames"/>
      <w:i w:val="1"/>
      <w:color w:val="616161"/>
      <w:sz w:val="24"/>
    </w:rPr>
  </w:style>
  <w:style w:styleId="Style_21_ch" w:type="character">
    <w:name w:val="Subtitle"/>
    <w:link w:val="Style_21"/>
    <w:rPr>
      <w:rFonts w:ascii="XO Thames" w:hAnsi="XO Thames"/>
      <w:i w:val="1"/>
      <w:color w:val="616161"/>
      <w:sz w:val="24"/>
    </w:rPr>
  </w:style>
  <w:style w:styleId="Style_22" w:type="paragraph">
    <w:name w:val="toc 10"/>
    <w:link w:val="Style_22_ch"/>
    <w:uiPriority w:val="39"/>
    <w:pPr>
      <w:ind w:firstLine="0" w:left="1800"/>
    </w:pPr>
  </w:style>
  <w:style w:styleId="Style_22_ch" w:type="character">
    <w:name w:val="toc 10"/>
    <w:link w:val="Style_22"/>
  </w:style>
  <w:style w:styleId="Style_23" w:type="paragraph">
    <w:name w:val="Title"/>
    <w:link w:val="Style_23_ch"/>
    <w:uiPriority w:val="10"/>
    <w:qFormat/>
    <w:rPr>
      <w:rFonts w:ascii="XO Thames" w:hAnsi="XO Thames"/>
      <w:b w:val="1"/>
      <w:sz w:val="52"/>
    </w:rPr>
  </w:style>
  <w:style w:styleId="Style_23_ch" w:type="character">
    <w:name w:val="Title"/>
    <w:link w:val="Style_23"/>
    <w:rPr>
      <w:rFonts w:ascii="XO Thames" w:hAnsi="XO Thames"/>
      <w:b w:val="1"/>
      <w:sz w:val="52"/>
    </w:rPr>
  </w:style>
  <w:style w:styleId="Style_24" w:type="paragraph">
    <w:name w:val="heading 4"/>
    <w:link w:val="Style_24_ch"/>
    <w:uiPriority w:val="9"/>
    <w:qFormat/>
    <w:pPr>
      <w:spacing w:after="120" w:before="120"/>
      <w:ind/>
      <w:outlineLvl w:val="3"/>
    </w:pPr>
    <w:rPr>
      <w:rFonts w:ascii="XO Thames" w:hAnsi="XO Thames"/>
      <w:b w:val="1"/>
      <w:color w:val="595959"/>
      <w:sz w:val="26"/>
    </w:rPr>
  </w:style>
  <w:style w:styleId="Style_24_ch" w:type="character">
    <w:name w:val="heading 4"/>
    <w:link w:val="Style_24"/>
    <w:rPr>
      <w:rFonts w:ascii="XO Thames" w:hAnsi="XO Thames"/>
      <w:b w:val="1"/>
      <w:color w:val="595959"/>
      <w:sz w:val="26"/>
    </w:rPr>
  </w:style>
  <w:style w:styleId="Style_25" w:type="paragraph">
    <w:name w:val="heading 2"/>
    <w:link w:val="Style_25_ch"/>
    <w:uiPriority w:val="9"/>
    <w:qFormat/>
    <w:pPr>
      <w:spacing w:after="120" w:before="120"/>
      <w:ind/>
      <w:outlineLvl w:val="1"/>
    </w:pPr>
    <w:rPr>
      <w:rFonts w:ascii="XO Thames" w:hAnsi="XO Thames"/>
      <w:b w:val="1"/>
      <w:color w:val="00A0FF"/>
      <w:sz w:val="26"/>
    </w:rPr>
  </w:style>
  <w:style w:styleId="Style_25_ch" w:type="character">
    <w:name w:val="heading 2"/>
    <w:link w:val="Style_25"/>
    <w:rPr>
      <w:rFonts w:ascii="XO Thames" w:hAnsi="XO Thames"/>
      <w:b w:val="1"/>
      <w:color w:val="00A0FF"/>
      <w:sz w:val="26"/>
    </w:rPr>
  </w:style>
  <w:style w:default="1" w:styleId="Style_26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x14="http://schemas.microsoft.com/office/spreadsheetml/2009/9/main" xmlns:xdr="http://schemas.openxmlformats.org/drawingml/2006/spreadsheetDrawing" xmlns:xml="http://www.w3.org/XML/1998/namespace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</a:gradFill>
        <a:gradFill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MyOffice-CoreFramework-Linux/15.0-625.146.3192.258.0@RELEASE-DESKTOP-NUTMEG-ST-2</Application>
</Properties>
</file>