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1000000">
      <w:pPr>
        <w:ind/>
        <w:jc w:val="center"/>
        <w:rPr>
          <w:b w:val="1"/>
          <w:sz w:val="26"/>
        </w:rPr>
      </w:pPr>
    </w:p>
    <w:p w14:paraId="02000000">
      <w:pPr>
        <w:ind/>
        <w:jc w:val="center"/>
        <w:rPr>
          <w:rFonts w:ascii="PT Astra Serif" w:hAnsi="PT Astra Serif"/>
          <w:b w:val="1"/>
          <w:sz w:val="26"/>
        </w:rPr>
      </w:pPr>
      <w:r>
        <w:rPr>
          <w:rFonts w:ascii="PT Astra Serif" w:hAnsi="PT Astra Serif"/>
          <w:b w:val="1"/>
          <w:sz w:val="26"/>
        </w:rPr>
        <w:t xml:space="preserve">Результаты рассмотрения заявок аукциона от </w:t>
      </w:r>
      <w:r>
        <w:rPr>
          <w:rFonts w:ascii="PT Astra Serif" w:hAnsi="PT Astra Serif"/>
          <w:b w:val="1"/>
          <w:sz w:val="26"/>
        </w:rPr>
        <w:t>25 декабря</w:t>
      </w:r>
      <w:r>
        <w:rPr>
          <w:rFonts w:ascii="PT Astra Serif" w:hAnsi="PT Astra Serif"/>
          <w:b w:val="1"/>
          <w:sz w:val="26"/>
        </w:rPr>
        <w:t xml:space="preserve"> 2019</w:t>
      </w:r>
      <w:r>
        <w:rPr>
          <w:rFonts w:ascii="PT Astra Serif" w:hAnsi="PT Astra Serif"/>
          <w:b w:val="1"/>
          <w:sz w:val="26"/>
        </w:rPr>
        <w:t xml:space="preserve"> года</w:t>
      </w:r>
    </w:p>
    <w:p w14:paraId="03000000">
      <w:pPr>
        <w:ind/>
        <w:jc w:val="center"/>
        <w:rPr>
          <w:rFonts w:ascii="PT Astra Serif" w:hAnsi="PT Astra Serif"/>
          <w:b w:val="1"/>
          <w:sz w:val="26"/>
        </w:rPr>
      </w:pPr>
    </w:p>
    <w:p w14:paraId="04000000">
      <w:pPr>
        <w:ind w:firstLine="708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Комитет по управлению имуществом Курской области сообщает о результатах рассмотрения заявок и определения участников аукциона </w:t>
      </w:r>
      <w:r>
        <w:rPr>
          <w:rFonts w:ascii="PT Astra Serif" w:hAnsi="PT Astra Serif"/>
          <w:sz w:val="26"/>
        </w:rPr>
        <w:t>на</w:t>
      </w:r>
      <w:r>
        <w:rPr>
          <w:rFonts w:ascii="PT Astra Serif" w:hAnsi="PT Astra Serif"/>
          <w:sz w:val="26"/>
        </w:rPr>
        <w:t xml:space="preserve"> прав</w:t>
      </w:r>
      <w:r>
        <w:rPr>
          <w:rFonts w:ascii="PT Astra Serif" w:hAnsi="PT Astra Serif"/>
          <w:sz w:val="26"/>
        </w:rPr>
        <w:t>о</w:t>
      </w:r>
      <w:r>
        <w:rPr>
          <w:rFonts w:ascii="PT Astra Serif" w:hAnsi="PT Astra Serif"/>
          <w:sz w:val="26"/>
        </w:rPr>
        <w:t xml:space="preserve"> заключени</w:t>
      </w:r>
      <w:r>
        <w:rPr>
          <w:rFonts w:ascii="PT Astra Serif" w:hAnsi="PT Astra Serif"/>
          <w:sz w:val="26"/>
        </w:rPr>
        <w:t>я</w:t>
      </w:r>
      <w:r>
        <w:rPr>
          <w:rFonts w:ascii="PT Astra Serif" w:hAnsi="PT Astra Serif"/>
          <w:sz w:val="26"/>
        </w:rPr>
        <w:t xml:space="preserve"> договоров аренды земельных участков, назначенного на </w:t>
      </w:r>
      <w:r>
        <w:rPr>
          <w:rFonts w:ascii="PT Astra Serif" w:hAnsi="PT Astra Serif"/>
          <w:sz w:val="26"/>
        </w:rPr>
        <w:t>25 декабря</w:t>
      </w:r>
      <w:r>
        <w:rPr>
          <w:rFonts w:ascii="PT Astra Serif" w:hAnsi="PT Astra Serif"/>
          <w:sz w:val="26"/>
        </w:rPr>
        <w:t xml:space="preserve"> 2019</w:t>
      </w:r>
      <w:r>
        <w:rPr>
          <w:rFonts w:ascii="PT Astra Serif" w:hAnsi="PT Astra Serif"/>
          <w:sz w:val="26"/>
        </w:rPr>
        <w:t xml:space="preserve"> года в соответствии с решениями комитета по управл</w:t>
      </w:r>
      <w:r>
        <w:rPr>
          <w:rFonts w:ascii="PT Astra Serif" w:hAnsi="PT Astra Serif"/>
          <w:sz w:val="26"/>
        </w:rPr>
        <w:t>ению имуществом Курской области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от 20.11.2019 №01-18/1262, №01-18/1263, №01-18/1264,                  №01-18/1265</w:t>
      </w:r>
    </w:p>
    <w:p w14:paraId="05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>Лот № 1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46:29:101107:69, площадью 220 кв.м., из категории земель населенных пунктов, расположенного по адресу: Курская обл., г. Курск, ул. Пост Кривец, д. 11А, для целей, не связанных со строительством, с видом разрешенного использования земельного участка – «для организации гостевой парковки (без возведения объектов капитального строительства) к автомоечному комплексу, расположенному по адресу: г. Курск, ул. Пост Кривец, 11А». </w:t>
      </w:r>
    </w:p>
    <w:p w14:paraId="06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В соответствии </w:t>
      </w:r>
      <w:r>
        <w:rPr>
          <w:rFonts w:ascii="PT Astra Serif" w:hAnsi="PT Astra Serif"/>
          <w:sz w:val="26"/>
        </w:rPr>
        <w:t>с протоколом о рассмотрении заявок и определения участников аукциона на право заключения договора аренды земельного участка от 20.12.2019</w:t>
      </w:r>
      <w:r>
        <w:rPr>
          <w:rFonts w:ascii="PT Astra Serif" w:hAnsi="PT Astra Serif"/>
          <w:sz w:val="26"/>
        </w:rPr>
        <w:t xml:space="preserve">, п. 14 ст. 39.12 Земельного кодекса Российской Федерации аукцион по Лоту № 1 признан несостоявшимся </w:t>
      </w:r>
      <w:r>
        <w:rPr>
          <w:rFonts w:ascii="Times New Roman" w:hAnsi="Times New Roman"/>
          <w:b w:val="0"/>
          <w:sz w:val="26"/>
        </w:rPr>
        <w:t>в связи с подачей одной заявк</w:t>
      </w:r>
      <w:r>
        <w:rPr>
          <w:rFonts w:ascii="Times New Roman" w:hAnsi="Times New Roman"/>
          <w:b w:val="0"/>
          <w:sz w:val="26"/>
        </w:rPr>
        <w:t>и на участие в аукционе.</w:t>
      </w:r>
    </w:p>
    <w:p w14:paraId="07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 xml:space="preserve">Лот № </w:t>
      </w:r>
      <w:r>
        <w:rPr>
          <w:rFonts w:ascii="PT Astra Serif" w:hAnsi="PT Astra Serif"/>
          <w:b w:val="1"/>
          <w:sz w:val="26"/>
        </w:rPr>
        <w:t>2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46:29:102053:12, площадью 7 595 кв.м., из категории земель населенных пунктов, расположенного по адресу: Курская обл., г. Курск, ул. Карла Маркса, для целей, не связанных со строительством, с видом разрешенного использования земельного участка – «для устройства открытой автостоянки строящегося автокомплекса по продаже и обслуживанию легковых автомобилей (без возведения объектов капитального строительства)». </w:t>
      </w:r>
    </w:p>
    <w:p w14:paraId="08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В соответствии </w:t>
      </w:r>
      <w:r>
        <w:rPr>
          <w:rFonts w:ascii="PT Astra Serif" w:hAnsi="PT Astra Serif"/>
          <w:sz w:val="26"/>
        </w:rPr>
        <w:t>с протоколом о рассмотрении заявок и определения участников аукциона на право заключения договора аренды земельного участка от 20.12.2019</w:t>
      </w:r>
      <w:r>
        <w:rPr>
          <w:rFonts w:ascii="PT Astra Serif" w:hAnsi="PT Astra Serif"/>
          <w:sz w:val="26"/>
        </w:rPr>
        <w:t xml:space="preserve">, п. 14 ст. 39.12 Земельного кодекса Российской Федерации аукцион по Лоту № 2 признан несостоявшимся </w:t>
      </w:r>
      <w:r>
        <w:rPr>
          <w:rFonts w:ascii="Times New Roman" w:hAnsi="Times New Roman"/>
          <w:b w:val="0"/>
          <w:sz w:val="26"/>
        </w:rPr>
        <w:t xml:space="preserve"> в связи с подачей одной заявк</w:t>
      </w:r>
      <w:r>
        <w:rPr>
          <w:rFonts w:ascii="Times New Roman" w:hAnsi="Times New Roman"/>
          <w:b w:val="0"/>
          <w:sz w:val="26"/>
        </w:rPr>
        <w:t>и на участие в аукционе.</w:t>
      </w:r>
    </w:p>
    <w:p w14:paraId="09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>Лот № 3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46:29:103007:1940, площадью 500 кв.м., из категории земель населенных пунктов, расположенного по адресу: Курская обл., г. Курск,                                     ул. Еремина, для целей, не связанных со строительством, с видом разрешенного использования земельного участка – «склады». </w:t>
      </w:r>
    </w:p>
    <w:p w14:paraId="0A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В соответствии </w:t>
      </w:r>
      <w:r>
        <w:rPr>
          <w:rFonts w:ascii="PT Astra Serif" w:hAnsi="PT Astra Serif"/>
          <w:sz w:val="26"/>
        </w:rPr>
        <w:t>с протоколом о рассмотрении заявок и определения участников аукциона на право заключения договора аренды земельного участка от 20.12.2019 допущены к участию в аукционе и признаны участниками аукциона               ИП Положенцева Н.В., ООО "Эко Текс".</w:t>
      </w:r>
    </w:p>
    <w:p w14:paraId="0B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>Лот № 4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 46:29:103007:1941, площадью 17 393 кв.м., из категории земель населенных пунктов, расположенного по адресу: Курская обл., г. Курск,                ул. Еремина, для целей, не связанных со строительством, с видом разрешенного использования земельного участка – «склады». </w:t>
      </w:r>
    </w:p>
    <w:p w14:paraId="0C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В соответствии </w:t>
      </w:r>
      <w:r>
        <w:rPr>
          <w:rFonts w:ascii="PT Astra Serif" w:hAnsi="PT Astra Serif"/>
          <w:sz w:val="26"/>
        </w:rPr>
        <w:t>с протоколом о рассмотрении заявок и определения участников аукциона на право заключения договора аренды земельного участка от 20.12.2019</w:t>
      </w:r>
      <w:r>
        <w:rPr>
          <w:rFonts w:ascii="PT Astra Serif" w:hAnsi="PT Astra Serif"/>
          <w:sz w:val="26"/>
        </w:rPr>
        <w:t xml:space="preserve">, п. 14 ст. 39.12 Земельного кодекса Российской Федерации аукцион по Лоту № 4 признан несостоявшимся </w:t>
      </w:r>
      <w:r>
        <w:rPr>
          <w:rFonts w:ascii="Times New Roman" w:hAnsi="Times New Roman"/>
          <w:b w:val="0"/>
          <w:sz w:val="26"/>
        </w:rPr>
        <w:t xml:space="preserve"> в связи с подачей одной заявк</w:t>
      </w:r>
      <w:r>
        <w:rPr>
          <w:rFonts w:ascii="Times New Roman" w:hAnsi="Times New Roman"/>
          <w:b w:val="0"/>
          <w:sz w:val="26"/>
        </w:rPr>
        <w:t>и на участие в аукционе.</w:t>
      </w:r>
    </w:p>
    <w:sectPr>
      <w:pgSz w:h="16838" w:w="11906"/>
      <w:pgMar w:bottom="397" w:footer="708" w:gutter="0" w:header="708" w:left="1701" w:right="850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header"/>
    <w:basedOn w:val="Style_1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header"/>
    <w:basedOn w:val="Style_1_ch"/>
    <w:link w:val="Style_7"/>
  </w:style>
  <w:style w:styleId="Style_8" w:type="paragraph">
    <w:name w:val="toc 3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heading 1"/>
    <w:link w:val="Style_1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/>
      <w:jc w:val="left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link w:val="Style_13_ch"/>
    <w:uiPriority w:val="39"/>
    <w:pPr>
      <w:ind w:firstLine="0" w:left="0"/>
    </w:pPr>
    <w:rPr>
      <w:rFonts w:ascii="XO Thames" w:hAnsi="XO Thames"/>
      <w:b w:val="1"/>
    </w:rPr>
  </w:style>
  <w:style w:styleId="Style_13_ch" w:type="character">
    <w:name w:val="toc 1"/>
    <w:link w:val="Style_13"/>
    <w:rPr>
      <w:rFonts w:ascii="XO Thames" w:hAnsi="XO Thames"/>
      <w:b w:val="1"/>
    </w:rPr>
  </w:style>
  <w:style w:styleId="Style_14" w:type="paragraph">
    <w:name w:val="Header and Footer"/>
    <w:link w:val="Style_14_ch"/>
    <w:pPr>
      <w:spacing w:line="360" w:lineRule="auto"/>
      <w:ind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link w:val="Style_15_ch"/>
    <w:uiPriority w:val="39"/>
    <w:pPr>
      <w:ind w:firstLine="0" w:left="1600"/>
    </w:pPr>
  </w:style>
  <w:style w:styleId="Style_15_ch" w:type="character">
    <w:name w:val="toc 9"/>
    <w:link w:val="Style_15"/>
  </w:style>
  <w:style w:styleId="Style_16" w:type="paragraph">
    <w:name w:val="toc 8"/>
    <w:link w:val="Style_16_ch"/>
    <w:uiPriority w:val="39"/>
    <w:pPr>
      <w:ind w:firstLine="0" w:left="1400"/>
    </w:pPr>
  </w:style>
  <w:style w:styleId="Style_16_ch" w:type="character">
    <w:name w:val="toc 8"/>
    <w:link w:val="Style_16"/>
  </w:style>
  <w:style w:styleId="Style_17" w:type="paragraph">
    <w:name w:val="toc 5"/>
    <w:link w:val="Style_17_ch"/>
    <w:uiPriority w:val="39"/>
    <w:pPr>
      <w:ind w:firstLine="0" w:left="800"/>
    </w:pPr>
  </w:style>
  <w:style w:styleId="Style_17_ch" w:type="character">
    <w:name w:val="toc 5"/>
    <w:link w:val="Style_17"/>
  </w:style>
  <w:style w:styleId="Style_18" w:type="paragraph">
    <w:name w:val="footer"/>
    <w:basedOn w:val="Style_1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1_ch"/>
    <w:link w:val="Style_18"/>
  </w:style>
  <w:style w:styleId="Style_19" w:type="paragraph">
    <w:name w:val="Subtitle"/>
    <w:link w:val="Style_19_ch"/>
    <w:uiPriority w:val="11"/>
    <w:qFormat/>
    <w:rPr>
      <w:rFonts w:ascii="XO Thames" w:hAnsi="XO Thames"/>
      <w:i w:val="1"/>
      <w:color w:val="616161"/>
      <w:sz w:val="24"/>
    </w:rPr>
  </w:style>
  <w:style w:styleId="Style_19_ch" w:type="character">
    <w:name w:val="Subtitle"/>
    <w:link w:val="Style_19"/>
    <w:rPr>
      <w:rFonts w:ascii="XO Thames" w:hAnsi="XO Thames"/>
      <w:i w:val="1"/>
      <w:color w:val="616161"/>
      <w:sz w:val="24"/>
    </w:rPr>
  </w:style>
  <w:style w:styleId="Style_20" w:type="paragraph">
    <w:name w:val="toc 10"/>
    <w:link w:val="Style_20_ch"/>
    <w:uiPriority w:val="39"/>
    <w:pPr>
      <w:ind w:firstLine="0" w:left="1800"/>
    </w:pPr>
  </w:style>
  <w:style w:styleId="Style_20_ch" w:type="character">
    <w:name w:val="toc 10"/>
    <w:link w:val="Style_20"/>
  </w:style>
  <w:style w:styleId="Style_21" w:type="paragraph">
    <w:name w:val="Balloon Text"/>
    <w:basedOn w:val="Style_1"/>
    <w:link w:val="Style_21_ch"/>
    <w:rPr>
      <w:rFonts w:ascii="Segoe UI" w:hAnsi="Segoe UI"/>
      <w:sz w:val="18"/>
    </w:rPr>
  </w:style>
  <w:style w:styleId="Style_21_ch" w:type="character">
    <w:name w:val="Balloon Text"/>
    <w:basedOn w:val="Style_1_ch"/>
    <w:link w:val="Style_21"/>
    <w:rPr>
      <w:rFonts w:ascii="Segoe UI" w:hAnsi="Segoe UI"/>
      <w:sz w:val="18"/>
    </w:rPr>
  </w:style>
  <w:style w:styleId="Style_22" w:type="paragraph">
    <w:name w:val="Title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heading 2"/>
    <w:link w:val="Style_2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4_ch" w:type="character">
    <w:name w:val="heading 2"/>
    <w:link w:val="Style_24"/>
    <w:rPr>
      <w:rFonts w:ascii="XO Thames" w:hAnsi="XO Thames"/>
      <w:b w:val="1"/>
      <w:color w:val="00A0FF"/>
      <w:sz w:val="26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</a:gradFill>
        <a:gradFill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