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PT Astra Serif" w:hAnsi="PT Astra Serif"/>
        </w:rPr>
      </w:pPr>
      <w:r>
        <w:rPr>
          <w:rFonts w:ascii="PT Astra Serif" w:hAnsi="PT Astra Serif"/>
        </w:rPr>
        <w:t>ТЕКСТ  ИНФОРМАЦИОННОГО СООБЩЕНИЯ</w:t>
      </w:r>
    </w:p>
    <w:tbl>
      <w:tblPr>
        <w:tblStyle w:val="Style_1"/>
        <w:tblW w:w="9650" w:type="dxa"/>
        <w:jc w:val="left"/>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Pr>
      <w:tblGrid>
        <w:gridCol w:w="9650"/>
      </w:tblGrid>
      <w:tr>
        <w:trPr/>
        <w:tc>
          <w:tcPr>
            <w:tcW w:w="96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rFonts w:ascii="PT Astra Serif" w:hAnsi="PT Astra Serif"/>
                <w:sz w:val="26"/>
              </w:rPr>
            </w:pPr>
            <w:r>
              <w:rPr>
                <w:rFonts w:ascii="PT Astra Serif" w:hAnsi="PT Astra Serif"/>
                <w:b/>
                <w:sz w:val="26"/>
              </w:rPr>
              <w:t>ВНИМАНИЕ, АУКЦИОН!</w:t>
            </w:r>
          </w:p>
          <w:p>
            <w:pPr>
              <w:pStyle w:val="Normal"/>
              <w:ind w:left="0" w:right="0" w:firstLine="567"/>
              <w:jc w:val="both"/>
              <w:rPr>
                <w:rFonts w:ascii="PT Astra Serif" w:hAnsi="PT Astra Serif"/>
                <w:sz w:val="26"/>
              </w:rPr>
            </w:pPr>
            <w:r>
              <w:rPr>
                <w:rFonts w:ascii="PT Astra Serif" w:hAnsi="PT Astra Serif"/>
                <w:sz w:val="26"/>
              </w:rPr>
              <w:t>Комитет по управлению имуществом Курской области объявляет о проведении аукциона на право заключения договоров аренды земельных участков.</w:t>
            </w:r>
          </w:p>
          <w:p>
            <w:pPr>
              <w:pStyle w:val="Normal"/>
              <w:ind w:left="0" w:right="0" w:firstLine="567"/>
              <w:jc w:val="both"/>
              <w:rPr>
                <w:rFonts w:ascii="PT Astra Serif" w:hAnsi="PT Astra Serif"/>
                <w:sz w:val="26"/>
              </w:rPr>
            </w:pPr>
            <w:r>
              <w:rPr>
                <w:rFonts w:ascii="PT Astra Serif" w:hAnsi="PT Astra Serif"/>
                <w:sz w:val="26"/>
              </w:rPr>
              <w:t>Аукцион назначается на</w:t>
            </w:r>
            <w:r>
              <w:rPr>
                <w:rFonts w:ascii="PT Astra Serif" w:hAnsi="PT Astra Serif"/>
                <w:b/>
                <w:sz w:val="26"/>
              </w:rPr>
              <w:t xml:space="preserve"> 11 часов 00 минут 25 марта 2020 года</w:t>
            </w:r>
            <w:r>
              <w:rPr>
                <w:rFonts w:ascii="PT Astra Serif" w:hAnsi="PT Astra Serif"/>
                <w:sz w:val="26"/>
              </w:rPr>
              <w:t xml:space="preserve"> в помещении комитета по управлению имуществом Курской области по адресу: г. Курск,                    ул. Марата, д. 9, кабинет №303. Контактный телефон: 70-87-47.</w:t>
            </w:r>
          </w:p>
          <w:p>
            <w:pPr>
              <w:pStyle w:val="Normal"/>
              <w:ind w:left="0" w:right="0" w:firstLine="567"/>
              <w:jc w:val="both"/>
              <w:rPr>
                <w:rFonts w:ascii="PT Astra Serif" w:hAnsi="PT Astra Serif"/>
                <w:sz w:val="26"/>
              </w:rPr>
            </w:pPr>
            <w:r>
              <w:rPr>
                <w:rFonts w:ascii="PT Astra Serif" w:hAnsi="PT Astra Serif"/>
                <w:sz w:val="26"/>
              </w:rPr>
              <w:t>Аукцион проводится на основании решений комитета по управлению имуществом Курской области от 12.02.2020 №01.01-17/76, №01.01-17/77,                  №01.01-17/81, №01.01-17/82.</w:t>
            </w:r>
          </w:p>
          <w:p>
            <w:pPr>
              <w:pStyle w:val="Normal"/>
              <w:ind w:left="0" w:right="0" w:firstLine="567"/>
              <w:jc w:val="both"/>
              <w:rPr>
                <w:rFonts w:ascii="PT Astra Serif" w:hAnsi="PT Astra Serif"/>
                <w:sz w:val="26"/>
              </w:rPr>
            </w:pPr>
            <w:r>
              <w:rPr>
                <w:rFonts w:ascii="PT Astra Serif" w:hAnsi="PT Astra Serif"/>
                <w:sz w:val="26"/>
              </w:rPr>
              <w:t>Организатор аукциона – комитет по управлению имуществом Курской области.</w:t>
            </w:r>
          </w:p>
          <w:p>
            <w:pPr>
              <w:pStyle w:val="Normal"/>
              <w:ind w:left="0" w:right="0" w:firstLine="567"/>
              <w:jc w:val="both"/>
              <w:rPr>
                <w:rFonts w:ascii="PT Astra Serif" w:hAnsi="PT Astra Serif"/>
                <w:sz w:val="26"/>
              </w:rPr>
            </w:pPr>
            <w:r>
              <w:rPr>
                <w:rFonts w:ascii="PT Astra Serif" w:hAnsi="PT Astra Serif"/>
                <w:sz w:val="26"/>
              </w:rPr>
              <w:t>Аукцион является открытым по составу участников, по форме подачи заявки и по форме подачи предложений о цене предмета аукциона.</w:t>
            </w:r>
          </w:p>
          <w:p>
            <w:pPr>
              <w:pStyle w:val="Normal"/>
              <w:ind w:left="0" w:right="0" w:firstLine="567"/>
              <w:jc w:val="both"/>
              <w:rPr>
                <w:rFonts w:ascii="PT Astra Serif" w:hAnsi="PT Astra Serif"/>
                <w:sz w:val="26"/>
              </w:rPr>
            </w:pPr>
            <w:r>
              <w:rPr>
                <w:rFonts w:ascii="PT Astra Serif" w:hAnsi="PT Astra Serif"/>
                <w:sz w:val="26"/>
              </w:rPr>
              <w:t>По результатам аукциона на право заключения договора аренды земельного участка определяется ежегодный размер арендной платы.</w:t>
            </w:r>
          </w:p>
          <w:p>
            <w:pPr>
              <w:pStyle w:val="Normal"/>
              <w:ind w:left="0" w:right="0" w:firstLine="567"/>
              <w:jc w:val="both"/>
              <w:rPr>
                <w:rFonts w:ascii="PT Astra Serif" w:hAnsi="PT Astra Serif"/>
                <w:sz w:val="26"/>
              </w:rPr>
            </w:pPr>
            <w:r>
              <w:rPr>
                <w:rFonts w:ascii="PT Astra Serif" w:hAnsi="PT Astra Serif"/>
                <w:b/>
                <w:sz w:val="26"/>
              </w:rPr>
              <w:t>Лот №1.</w:t>
            </w:r>
            <w:r>
              <w:rPr>
                <w:rFonts w:ascii="PT Astra Serif" w:hAnsi="PT Astra Serif"/>
                <w:sz w:val="26"/>
              </w:rPr>
              <w:t xml:space="preserve"> </w:t>
            </w:r>
          </w:p>
          <w:p>
            <w:pPr>
              <w:pStyle w:val="Normal"/>
              <w:ind w:left="0" w:right="0" w:firstLine="567"/>
              <w:jc w:val="both"/>
              <w:rPr>
                <w:rFonts w:ascii="PT Astra Serif" w:hAnsi="PT Astra Serif"/>
                <w:sz w:val="26"/>
              </w:rPr>
            </w:pPr>
            <w:r>
              <w:rPr>
                <w:rFonts w:ascii="PT Astra Serif" w:hAnsi="PT Astra Serif"/>
                <w:sz w:val="26"/>
              </w:rPr>
              <w:t xml:space="preserve">Предметом аукциона является право на заключение договора аренды земельного участка с кадастровым номером 46:29:103006:246, площадью                           410 кв.м.,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из категории земель населенных пунктов, расположенного по адресу: Курская обл., г. Курск, ул. Сумская, 29А, с видом разрешенного использования земельного участка – "бытовое обслуживание". </w:t>
            </w:r>
          </w:p>
          <w:p>
            <w:pPr>
              <w:pStyle w:val="Normal"/>
              <w:ind w:left="0" w:right="0" w:firstLine="567"/>
              <w:jc w:val="both"/>
              <w:rPr>
                <w:rFonts w:ascii="PT Astra Serif" w:hAnsi="PT Astra Serif"/>
                <w:sz w:val="26"/>
              </w:rPr>
            </w:pPr>
            <w:r>
              <w:rPr>
                <w:rFonts w:ascii="PT Astra Serif" w:hAnsi="PT Astra Serif"/>
                <w:sz w:val="26"/>
              </w:rPr>
              <w:t>Согласно корректуре Генерального плана города Курска, утвержденной решением Курского городского Собрания от 22.12.2016 №326-5-ОС, земельный участок расположен в функциональной зоне застройки среднеэтажными жилыми домами.</w:t>
            </w:r>
          </w:p>
          <w:p>
            <w:pPr>
              <w:pStyle w:val="Normal"/>
              <w:ind w:left="0" w:right="0" w:firstLine="567"/>
              <w:jc w:val="both"/>
              <w:rPr>
                <w:rFonts w:ascii="PT Astra Serif" w:hAnsi="PT Astra Serif"/>
                <w:sz w:val="26"/>
              </w:rPr>
            </w:pPr>
            <w:r>
              <w:rPr>
                <w:rFonts w:ascii="PT Astra Serif" w:hAnsi="PT Astra Serif"/>
                <w:sz w:val="26"/>
              </w:rPr>
              <w:t>В соответствии с Правилами землепользования и застройки муниципального образования «Город Курск», утвержденными решением Курского городского Собрания от 23.10.2007 №388-3-РС (далее - Правила), земельный участок расположен в территориальной зоне Ж-3 – зона жилой застройки средней этажности (5-8 этажей).</w:t>
            </w:r>
          </w:p>
          <w:p>
            <w:pPr>
              <w:pStyle w:val="Normal"/>
              <w:ind w:left="0" w:right="0" w:firstLine="567"/>
              <w:jc w:val="both"/>
              <w:rPr>
                <w:rFonts w:ascii="PT Astra Serif" w:hAnsi="PT Astra Serif"/>
                <w:sz w:val="26"/>
              </w:rPr>
            </w:pPr>
            <w:r>
              <w:rPr>
                <w:rFonts w:ascii="PT Astra Serif" w:hAnsi="PT Astra Serif"/>
                <w:sz w:val="26"/>
              </w:rPr>
              <w:t>В данной территориальной зоне предусмотрен вид разрешенного использования "бытовое обслуживание", код – 3.3.</w:t>
            </w:r>
          </w:p>
          <w:p>
            <w:pPr>
              <w:pStyle w:val="Normal"/>
              <w:ind w:left="0" w:right="0" w:firstLine="567"/>
              <w:jc w:val="both"/>
              <w:rPr>
                <w:rFonts w:ascii="PT Astra Serif" w:hAnsi="PT Astra Serif"/>
                <w:sz w:val="26"/>
              </w:rPr>
            </w:pPr>
            <w:r>
              <w:rPr>
                <w:rFonts w:ascii="PT Astra Serif" w:hAnsi="PT Astra Serif"/>
                <w:sz w:val="26"/>
              </w:rPr>
              <w:t>Объекты, находящиеся в территориальной зоне Ж-3 вида использования - "бытовое обслуживание"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1000 кв.м.</w:t>
            </w:r>
          </w:p>
          <w:p>
            <w:pPr>
              <w:pStyle w:val="Normal"/>
              <w:ind w:left="0" w:right="0" w:firstLine="567"/>
              <w:jc w:val="both"/>
              <w:rPr>
                <w:rFonts w:ascii="PT Astra Serif" w:hAnsi="PT Astra Serif"/>
                <w:sz w:val="26"/>
              </w:rPr>
            </w:pPr>
            <w:r>
              <w:rPr>
                <w:rFonts w:ascii="PT Astra Serif" w:hAnsi="PT Astra Serif"/>
                <w:b/>
                <w:sz w:val="26"/>
              </w:rPr>
              <w:t>Условия использования земельного участка:</w:t>
            </w:r>
            <w:r>
              <w:rPr>
                <w:rFonts w:ascii="PT Astra Serif" w:hAnsi="PT Astra Serif"/>
                <w:sz w:val="26"/>
              </w:rPr>
              <w:t xml:space="preserve"> </w:t>
            </w:r>
          </w:p>
          <w:p>
            <w:pPr>
              <w:pStyle w:val="Normal"/>
              <w:ind w:left="0" w:right="0" w:firstLine="567"/>
              <w:jc w:val="both"/>
              <w:rPr>
                <w:rFonts w:ascii="PT Astra Serif" w:hAnsi="PT Astra Serif"/>
                <w:sz w:val="26"/>
              </w:rPr>
            </w:pPr>
            <w:r>
              <w:rPr>
                <w:rFonts w:ascii="PT Astra Serif" w:hAnsi="PT Astra Serif"/>
                <w:b/>
                <w:sz w:val="26"/>
              </w:rPr>
              <w:t xml:space="preserve">1. </w:t>
            </w:r>
            <w:r>
              <w:rPr>
                <w:rFonts w:ascii="PT Astra Serif" w:hAnsi="PT Astra Serif"/>
                <w:sz w:val="26"/>
              </w:rPr>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pPr>
              <w:pStyle w:val="Normal"/>
              <w:ind w:left="0" w:right="0" w:firstLine="567"/>
              <w:jc w:val="both"/>
              <w:rPr>
                <w:rFonts w:ascii="PT Astra Serif" w:hAnsi="PT Astra Serif"/>
                <w:sz w:val="26"/>
              </w:rPr>
            </w:pPr>
            <w:r>
              <w:rPr>
                <w:rFonts w:ascii="PT Astra Serif" w:hAnsi="PT Astra Serif"/>
                <w:b/>
                <w:sz w:val="26"/>
              </w:rPr>
              <w:t xml:space="preserve">2. </w:t>
            </w:r>
            <w:r>
              <w:rPr>
                <w:rFonts w:ascii="PT Astra Serif" w:hAnsi="PT Astra Serif"/>
                <w:sz w:val="26"/>
              </w:rPr>
              <w:t>Изменение вида разрешенного использования земельного участка                         не допускается.</w:t>
            </w:r>
          </w:p>
          <w:p>
            <w:pPr>
              <w:pStyle w:val="Normal"/>
              <w:ind w:left="0" w:right="0" w:firstLine="567"/>
              <w:jc w:val="both"/>
              <w:rPr>
                <w:rFonts w:ascii="PT Astra Serif" w:hAnsi="PT Astra Serif"/>
                <w:sz w:val="26"/>
              </w:rPr>
            </w:pPr>
            <w:r>
              <w:rPr>
                <w:rFonts w:ascii="PT Astra Serif" w:hAnsi="PT Astra Serif"/>
                <w:b/>
                <w:sz w:val="26"/>
              </w:rPr>
              <w:t xml:space="preserve">3. </w:t>
            </w:r>
            <w:r>
              <w:rPr>
                <w:rFonts w:ascii="PT Astra Serif" w:hAnsi="PT Astra Serif"/>
                <w:sz w:val="26"/>
              </w:rPr>
              <w:t>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w:t>
            </w:r>
          </w:p>
          <w:p>
            <w:pPr>
              <w:pStyle w:val="Normal"/>
              <w:ind w:left="0" w:right="0" w:firstLine="567"/>
              <w:jc w:val="both"/>
              <w:rPr>
                <w:rFonts w:ascii="PT Astra Serif" w:hAnsi="PT Astra Serif"/>
                <w:sz w:val="26"/>
              </w:rPr>
            </w:pPr>
            <w:r>
              <w:rPr>
                <w:rFonts w:ascii="PT Astra Serif" w:hAnsi="PT Astra Serif"/>
                <w:b/>
                <w:sz w:val="26"/>
              </w:rPr>
              <w:t>4.</w:t>
            </w:r>
            <w:r>
              <w:rPr>
                <w:rFonts w:ascii="PT Astra Serif" w:hAnsi="PT Astra Serif"/>
                <w:sz w:val="26"/>
              </w:rPr>
              <w:t xml:space="preserve"> Благоустройство территории (озеленение, подходы, подъезды, парковочные места) организовываются в границах земельного участка, предоставленного для строительства.</w:t>
            </w:r>
          </w:p>
          <w:p>
            <w:pPr>
              <w:pStyle w:val="Normal"/>
              <w:ind w:left="0" w:right="0" w:firstLine="567"/>
              <w:jc w:val="both"/>
              <w:rPr>
                <w:rFonts w:ascii="PT Astra Serif" w:hAnsi="PT Astra Serif"/>
                <w:sz w:val="26"/>
              </w:rPr>
            </w:pPr>
            <w:r>
              <w:rPr>
                <w:rFonts w:ascii="PT Astra Serif" w:hAnsi="PT Astra Serif"/>
                <w:b/>
                <w:sz w:val="26"/>
              </w:rPr>
              <w:t>5.</w:t>
            </w:r>
            <w:r>
              <w:rPr>
                <w:rFonts w:ascii="PT Astra Serif" w:hAnsi="PT Astra Serif"/>
                <w:sz w:val="26"/>
              </w:rPr>
              <w:t xml:space="preserve"> Передача прав и обязанностей по договору аренды земельного участка третьему лицу не допускается.</w:t>
            </w:r>
          </w:p>
          <w:p>
            <w:pPr>
              <w:pStyle w:val="Normal"/>
              <w:ind w:left="0" w:right="0" w:firstLine="567"/>
              <w:jc w:val="both"/>
              <w:rPr>
                <w:rFonts w:ascii="PT Astra Serif" w:hAnsi="PT Astra Serif"/>
                <w:sz w:val="26"/>
              </w:rPr>
            </w:pPr>
            <w:r>
              <w:rPr>
                <w:rFonts w:ascii="PT Astra Serif" w:hAnsi="PT Astra Serif"/>
                <w:b/>
                <w:sz w:val="26"/>
              </w:rPr>
              <w:t>6.</w:t>
            </w:r>
            <w:r>
              <w:rPr>
                <w:rFonts w:ascii="PT Astra Serif" w:hAnsi="PT Astra Serif"/>
                <w:sz w:val="26"/>
              </w:rPr>
              <w:t xml:space="preserve"> Передача арендованного земельного участка в субаренду не допускается.</w:t>
            </w:r>
          </w:p>
          <w:p>
            <w:pPr>
              <w:pStyle w:val="Normal"/>
              <w:ind w:left="0" w:right="0" w:firstLine="567"/>
              <w:jc w:val="both"/>
              <w:rPr>
                <w:rFonts w:ascii="PT Astra Serif" w:hAnsi="PT Astra Serif"/>
                <w:sz w:val="26"/>
              </w:rPr>
            </w:pPr>
            <w:r>
              <w:rPr>
                <w:rFonts w:ascii="PT Astra Serif" w:hAnsi="PT Astra Serif"/>
                <w:b/>
                <w:sz w:val="26"/>
              </w:rPr>
              <w:t xml:space="preserve">Существующие ограничения и обременения земельного участка: </w:t>
            </w:r>
          </w:p>
          <w:p>
            <w:pPr>
              <w:pStyle w:val="Normal"/>
              <w:ind w:left="0" w:right="0" w:firstLine="567"/>
              <w:jc w:val="both"/>
              <w:rPr>
                <w:rFonts w:ascii="PT Astra Serif" w:hAnsi="PT Astra Serif"/>
                <w:sz w:val="26"/>
              </w:rPr>
            </w:pPr>
            <w:r>
              <w:rPr>
                <w:rFonts w:ascii="PT Astra Serif" w:hAnsi="PT Astra Serif"/>
                <w:b/>
                <w:color w:val="000000"/>
                <w:sz w:val="26"/>
              </w:rPr>
              <w:t>1.</w:t>
            </w:r>
            <w:r>
              <w:rPr>
                <w:rFonts w:ascii="PT Astra Serif" w:hAnsi="PT Astra Serif"/>
                <w:color w:val="000000"/>
                <w:sz w:val="26"/>
              </w:rPr>
              <w:t xml:space="preserve"> В случае проведения земляных, строительных, хозяйственных и иных работ, Заказчик работ, в соответствии со ст.ст. 28, 30, 31, 32, 36, 45.1 Федерального закона от 25.06.2002 №73-ФЗ «Об объектах культурного наследия (памятниках истории и культуры) народов Российской Федерации» и с п. 56 ст. 26 Федерального закона от 03.08.2018 №342-ФЗ «О внесении изменений в Градостроительный кодекс Российской Федерации и отдельные законодательные акты Российской Федерации» обязан:</w:t>
            </w:r>
          </w:p>
          <w:p>
            <w:pPr>
              <w:pStyle w:val="Normal"/>
              <w:ind w:left="0" w:right="0" w:firstLine="567"/>
              <w:jc w:val="both"/>
              <w:rPr>
                <w:rFonts w:ascii="PT Astra Serif" w:hAnsi="PT Astra Serif"/>
                <w:sz w:val="26"/>
              </w:rPr>
            </w:pPr>
            <w:r>
              <w:rPr>
                <w:rFonts w:ascii="PT Astra Serif" w:hAnsi="PT Astra Serif"/>
                <w:color w:val="000000"/>
                <w:sz w:val="26"/>
              </w:rPr>
              <w:t>- обеспечить проведение и финансирование историко-культурной экспертизы земельного участка, подлежащего воздействию земляных, строительных, хозяйственных и иных работ, путем археологической разведки, в порядке, установленном ст. 45.1 Федерального закона от 25.06.2002 №73-ФЗ «Об объектах культурного наследия (памятниках истории и культуры) народов Российской Федерации»;</w:t>
            </w:r>
          </w:p>
          <w:p>
            <w:pPr>
              <w:pStyle w:val="Normal"/>
              <w:ind w:left="0" w:right="0" w:firstLine="567"/>
              <w:jc w:val="both"/>
              <w:rPr>
                <w:rFonts w:ascii="PT Astra Serif" w:hAnsi="PT Astra Serif"/>
                <w:sz w:val="26"/>
              </w:rPr>
            </w:pPr>
            <w:r>
              <w:rPr>
                <w:rFonts w:ascii="PT Astra Serif" w:hAnsi="PT Astra Serif"/>
                <w:color w:val="000000"/>
                <w:sz w:val="26"/>
              </w:rPr>
              <w:t>- представить в Управление Администрации Курской области по охране объектов культурного наследия 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земельном участке, подлежащем воздействию земляных, строительных, хозяйственных и иных работ, а также заключение государственной историко-культурной экспертизы указанной документации (либо земельного участка).</w:t>
            </w:r>
          </w:p>
          <w:p>
            <w:pPr>
              <w:pStyle w:val="Normal"/>
              <w:spacing w:lineRule="auto" w:line="240" w:before="0" w:after="0"/>
              <w:ind w:left="0" w:right="0" w:firstLine="567"/>
              <w:jc w:val="both"/>
              <w:rPr>
                <w:rFonts w:ascii="PT Astra Serif" w:hAnsi="PT Astra Serif"/>
                <w:color w:val="000000"/>
                <w:spacing w:val="0"/>
                <w:sz w:val="26"/>
              </w:rPr>
            </w:pPr>
            <w:r>
              <w:rPr>
                <w:rFonts w:ascii="PT Astra Serif" w:hAnsi="PT Astra Serif"/>
                <w:color w:val="000000"/>
                <w:spacing w:val="0"/>
                <w:sz w:val="26"/>
              </w:rPr>
              <w:t>В случае обнаружения в границах земельного участка, подлежащего воздействию земляных, строительных, хозяйственных и иных работ, объектов, обладающих признаками объекта археологического наследия, и после принятия Управлением Администрации Курской области по охране объектов культурного наследия решения о включении данных объектов в перечень выявленных объектов культурного наследия:</w:t>
            </w:r>
          </w:p>
          <w:p>
            <w:pPr>
              <w:pStyle w:val="Normal"/>
              <w:spacing w:lineRule="auto" w:line="240" w:before="0" w:after="0"/>
              <w:ind w:left="0" w:right="0" w:firstLine="567"/>
              <w:jc w:val="both"/>
              <w:rPr>
                <w:rFonts w:ascii="PT Astra Serif" w:hAnsi="PT Astra Serif"/>
                <w:color w:val="000000"/>
                <w:spacing w:val="0"/>
                <w:sz w:val="26"/>
              </w:rPr>
            </w:pPr>
            <w:r>
              <w:rPr>
                <w:rFonts w:ascii="PT Astra Serif" w:hAnsi="PT Astra Serif"/>
                <w:color w:val="000000"/>
                <w:spacing w:val="0"/>
                <w:sz w:val="26"/>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по обеспечению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w:t>
            </w:r>
          </w:p>
          <w:p>
            <w:pPr>
              <w:pStyle w:val="Normal"/>
              <w:spacing w:lineRule="auto" w:line="240" w:before="0" w:after="0"/>
              <w:ind w:left="0" w:right="0" w:firstLine="567"/>
              <w:jc w:val="both"/>
              <w:rPr>
                <w:rFonts w:ascii="PT Astra Serif" w:hAnsi="PT Astra Serif"/>
                <w:color w:val="000000"/>
                <w:spacing w:val="0"/>
                <w:sz w:val="26"/>
              </w:rPr>
            </w:pPr>
            <w:r>
              <w:rPr>
                <w:rFonts w:ascii="PT Astra Serif" w:hAnsi="PT Astra Serif"/>
                <w:color w:val="000000"/>
                <w:spacing w:val="0"/>
                <w:sz w:val="26"/>
              </w:rPr>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Управление Администрации Курской области по охране объектов культурного наследия на согласование;</w:t>
            </w:r>
          </w:p>
          <w:p>
            <w:pPr>
              <w:pStyle w:val="Normal"/>
              <w:spacing w:lineRule="auto" w:line="240" w:before="0" w:after="0"/>
              <w:ind w:left="0" w:right="0" w:firstLine="567"/>
              <w:jc w:val="both"/>
              <w:rPr>
                <w:rFonts w:ascii="PT Astra Serif" w:hAnsi="PT Astra Serif"/>
                <w:color w:val="000000"/>
                <w:spacing w:val="0"/>
                <w:sz w:val="26"/>
              </w:rPr>
            </w:pPr>
            <w:r>
              <w:rPr>
                <w:rFonts w:ascii="PT Astra Serif" w:hAnsi="PT Astra Serif"/>
                <w:color w:val="000000"/>
                <w:spacing w:val="0"/>
                <w:sz w:val="26"/>
              </w:rPr>
              <w:t>- обеспечить реализацию согласованной Управлением Администрации Курской области по охране объектов культурного наследия документации, обосновывающей меры по обеспечению сохранности выявленного объекта культурного (археологического) наследия.</w:t>
            </w:r>
          </w:p>
          <w:p>
            <w:pPr>
              <w:pStyle w:val="Normal"/>
              <w:ind w:left="0" w:right="0" w:firstLine="567"/>
              <w:jc w:val="both"/>
              <w:rPr>
                <w:rFonts w:ascii="PT Astra Serif" w:hAnsi="PT Astra Serif"/>
                <w:sz w:val="26"/>
              </w:rPr>
            </w:pPr>
            <w:r>
              <w:rPr>
                <w:rFonts w:ascii="PT Astra Serif" w:hAnsi="PT Astra Serif"/>
                <w:b/>
                <w:sz w:val="26"/>
              </w:rPr>
              <w:t>Предельные параметры разрешенного строительства, реконструкции объектов капитального строительства:</w:t>
            </w:r>
          </w:p>
          <w:p>
            <w:pPr>
              <w:pStyle w:val="Normal"/>
              <w:ind w:left="0" w:right="0" w:firstLine="567"/>
              <w:jc w:val="both"/>
              <w:rPr>
                <w:rFonts w:ascii="PT Astra Serif" w:hAnsi="PT Astra Serif"/>
                <w:sz w:val="26"/>
              </w:rPr>
            </w:pPr>
            <w:r>
              <w:rPr>
                <w:rFonts w:ascii="PT Astra Serif" w:hAnsi="PT Astra Serif"/>
                <w:sz w:val="26"/>
              </w:rPr>
              <w:t>- категория объекта капитального строительства – объект площадью                      до 1000 кв.м.;</w:t>
            </w:r>
          </w:p>
          <w:p>
            <w:pPr>
              <w:pStyle w:val="Normal"/>
              <w:ind w:left="0" w:right="0" w:firstLine="567"/>
              <w:jc w:val="both"/>
              <w:rPr>
                <w:rFonts w:ascii="PT Astra Serif" w:hAnsi="PT Astra Serif"/>
                <w:sz w:val="26"/>
              </w:rPr>
            </w:pPr>
            <w:r>
              <w:rPr>
                <w:rFonts w:ascii="PT Astra Serif" w:hAnsi="PT Astra Serif"/>
                <w:sz w:val="26"/>
              </w:rPr>
              <w:t>- максимальное количество этажей надземной части зданий, строений, сооружений на территории земельных участков - 8 этажей;</w:t>
            </w:r>
          </w:p>
          <w:p>
            <w:pPr>
              <w:pStyle w:val="Normal"/>
              <w:numPr>
                <w:ilvl w:val="0"/>
                <w:numId w:val="1"/>
              </w:numPr>
              <w:ind w:left="0" w:right="0" w:firstLine="567"/>
              <w:jc w:val="both"/>
              <w:rPr>
                <w:rFonts w:ascii="PT Astra Serif" w:hAnsi="PT Astra Serif"/>
                <w:sz w:val="26"/>
              </w:rPr>
            </w:pPr>
            <w:r>
              <w:rPr>
                <w:rFonts w:ascii="PT Astra Serif" w:hAnsi="PT Astra Serif"/>
                <w:sz w:val="26"/>
              </w:rPr>
              <w:t>максимальная общая площадь объектов капитального строительства нежилого назначения на территории земельного участка не устанавливается;</w:t>
            </w:r>
          </w:p>
          <w:p>
            <w:pPr>
              <w:pStyle w:val="Normal"/>
              <w:ind w:left="0" w:right="0" w:firstLine="567"/>
              <w:jc w:val="both"/>
              <w:rPr>
                <w:rFonts w:ascii="PT Astra Serif" w:hAnsi="PT Astra Serif"/>
                <w:sz w:val="26"/>
              </w:rPr>
            </w:pPr>
            <w:r>
              <w:rPr>
                <w:rFonts w:ascii="PT Astra Serif" w:hAnsi="PT Astra Serif"/>
                <w:sz w:val="26"/>
              </w:rPr>
              <w:t>- максимальный класс опасности (по санитарной классификации) объектов капитального строительства, размещаемых на территории земельных участков – V;</w:t>
            </w:r>
          </w:p>
          <w:p>
            <w:pPr>
              <w:pStyle w:val="Normal"/>
              <w:ind w:left="0" w:right="0" w:firstLine="567"/>
              <w:jc w:val="both"/>
              <w:rPr>
                <w:rFonts w:ascii="PT Astra Serif" w:hAnsi="PT Astra Serif"/>
                <w:sz w:val="26"/>
              </w:rPr>
            </w:pPr>
            <w:r>
              <w:rPr>
                <w:rFonts w:ascii="PT Astra Serif" w:hAnsi="PT Astra Serif"/>
                <w:sz w:val="26"/>
              </w:rPr>
              <w:t>- минимальное количество машино-мест для хранения индивидуального автотранспорта на территории земельных участков — 3 машиноместа;</w:t>
            </w:r>
          </w:p>
          <w:p>
            <w:pPr>
              <w:pStyle w:val="Normal"/>
              <w:ind w:left="0" w:right="0" w:firstLine="567"/>
              <w:jc w:val="both"/>
              <w:rPr>
                <w:rFonts w:ascii="PT Astra Serif" w:hAnsi="PT Astra Serif"/>
                <w:sz w:val="26"/>
              </w:rPr>
            </w:pPr>
            <w:r>
              <w:rPr>
                <w:rFonts w:ascii="PT Astra Serif" w:hAnsi="PT Astra Serif"/>
                <w:sz w:val="26"/>
              </w:rPr>
              <w:t xml:space="preserve">- минимально допустимая площадь озелененных территории земельных участков - 15% территории земельного участка; </w:t>
            </w:r>
          </w:p>
          <w:p>
            <w:pPr>
              <w:pStyle w:val="Normal"/>
              <w:ind w:left="0" w:right="0" w:firstLine="567"/>
              <w:jc w:val="both"/>
              <w:rPr>
                <w:rFonts w:ascii="PT Astra Serif" w:hAnsi="PT Astra Serif"/>
                <w:sz w:val="26"/>
              </w:rPr>
            </w:pPr>
            <w:r>
              <w:rPr>
                <w:rFonts w:ascii="PT Astra Serif" w:hAnsi="PT Astra Serif"/>
                <w:sz w:val="26"/>
              </w:rPr>
              <w:t>- ограничения использования земельных участков и объектов капитального строительства применяются с учетом требований, предусмотренных главой 12 Правил.</w:t>
            </w:r>
          </w:p>
          <w:p>
            <w:pPr>
              <w:pStyle w:val="Normal"/>
              <w:ind w:left="0" w:right="0" w:firstLine="567"/>
              <w:jc w:val="both"/>
              <w:rPr>
                <w:rFonts w:ascii="PT Astra Serif" w:hAnsi="PT Astra Serif"/>
                <w:sz w:val="26"/>
              </w:rPr>
            </w:pPr>
            <w:r>
              <w:rPr>
                <w:rFonts w:ascii="PT Astra Serif" w:hAnsi="PT Astra Serif"/>
                <w:b/>
                <w:sz w:val="26"/>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p>
            <w:pPr>
              <w:pStyle w:val="Normal"/>
              <w:ind w:left="0" w:right="0" w:firstLine="567"/>
              <w:jc w:val="both"/>
              <w:rPr>
                <w:rFonts w:ascii="PT Astra Serif" w:hAnsi="PT Astra Serif"/>
                <w:sz w:val="26"/>
              </w:rPr>
            </w:pPr>
            <w:r>
              <w:rPr>
                <w:rFonts w:ascii="PT Astra Serif" w:hAnsi="PT Astra Serif"/>
                <w:b/>
                <w:i/>
                <w:sz w:val="26"/>
                <w:u w:val="single"/>
              </w:rPr>
              <w:t>Водоснабжение, водоотведение:</w:t>
            </w:r>
          </w:p>
          <w:p>
            <w:pPr>
              <w:pStyle w:val="Normal"/>
              <w:ind w:left="0" w:right="0" w:firstLine="567"/>
              <w:jc w:val="both"/>
              <w:rPr>
                <w:rFonts w:ascii="PT Astra Serif" w:hAnsi="PT Astra Serif"/>
                <w:sz w:val="26"/>
              </w:rPr>
            </w:pPr>
            <w:r>
              <w:rPr>
                <w:rFonts w:ascii="PT Astra Serif" w:hAnsi="PT Astra Serif"/>
                <w:b/>
                <w:sz w:val="26"/>
              </w:rPr>
              <w:t xml:space="preserve">МУП «Курскводоканал» </w:t>
            </w:r>
            <w:r>
              <w:rPr>
                <w:rFonts w:ascii="PT Astra Serif" w:hAnsi="PT Astra Serif"/>
                <w:sz w:val="26"/>
              </w:rPr>
              <w:t>сообщает о наличии технической возможности подключения земельного участка к сетям водоснабжения и канализации.</w:t>
            </w:r>
          </w:p>
          <w:p>
            <w:pPr>
              <w:pStyle w:val="Normal"/>
              <w:ind w:left="0" w:right="0" w:firstLine="567"/>
              <w:jc w:val="both"/>
              <w:rPr>
                <w:rFonts w:ascii="PT Astra Serif" w:hAnsi="PT Astra Serif"/>
                <w:sz w:val="26"/>
              </w:rPr>
            </w:pPr>
            <w:r>
              <w:rPr>
                <w:rFonts w:ascii="PT Astra Serif" w:hAnsi="PT Astra Serif"/>
                <w:sz w:val="26"/>
              </w:rPr>
              <w:t>Максимальная присоединяемая нагрузка для участка в данном районе в возможных точках подключения к сетям водоснабжения — 2,0 куб.м/сут., к сетям водоотведения — 2,0 куб.м/сут.</w:t>
            </w:r>
          </w:p>
          <w:p>
            <w:pPr>
              <w:pStyle w:val="Normal"/>
              <w:ind w:left="0" w:right="0" w:firstLine="567"/>
              <w:jc w:val="both"/>
              <w:rPr>
                <w:rFonts w:ascii="PT Astra Serif" w:hAnsi="PT Astra Serif"/>
                <w:sz w:val="26"/>
              </w:rPr>
            </w:pPr>
            <w:r>
              <w:rPr>
                <w:rFonts w:ascii="PT Astra Serif" w:hAnsi="PT Astra Serif"/>
                <w:sz w:val="26"/>
              </w:rPr>
              <w:t>Максимальный пожарный расход — 15,0 л/с.</w:t>
            </w:r>
          </w:p>
          <w:p>
            <w:pPr>
              <w:pStyle w:val="Normal"/>
              <w:ind w:left="0" w:right="0" w:firstLine="567"/>
              <w:jc w:val="both"/>
              <w:rPr>
                <w:rFonts w:ascii="PT Astra Serif" w:hAnsi="PT Astra Serif"/>
                <w:sz w:val="26"/>
              </w:rPr>
            </w:pPr>
            <w:r>
              <w:rPr>
                <w:rFonts w:ascii="PT Astra Serif" w:hAnsi="PT Astra Serif"/>
                <w:sz w:val="26"/>
              </w:rPr>
              <w:t>Точка подключения по водоснабжению — сеть водопровода в р-не земельного участка.</w:t>
            </w:r>
          </w:p>
          <w:p>
            <w:pPr>
              <w:pStyle w:val="Normal"/>
              <w:ind w:left="0" w:right="0" w:firstLine="567"/>
              <w:jc w:val="both"/>
              <w:rPr>
                <w:rFonts w:ascii="PT Astra Serif" w:hAnsi="PT Astra Serif"/>
                <w:sz w:val="26"/>
              </w:rPr>
            </w:pPr>
            <w:r>
              <w:rPr>
                <w:rFonts w:ascii="PT Astra Serif" w:hAnsi="PT Astra Serif"/>
                <w:sz w:val="26"/>
              </w:rPr>
              <w:t xml:space="preserve">Точка подключения по водоотведению — сеть канализации в р-не земельного участка. </w:t>
            </w:r>
          </w:p>
          <w:p>
            <w:pPr>
              <w:pStyle w:val="Normal"/>
              <w:ind w:left="0" w:right="0" w:firstLine="567"/>
              <w:jc w:val="both"/>
              <w:rPr>
                <w:rFonts w:ascii="PT Astra Serif" w:hAnsi="PT Astra Serif"/>
                <w:sz w:val="26"/>
              </w:rPr>
            </w:pPr>
            <w:r>
              <w:rPr>
                <w:rFonts w:ascii="PT Astra Serif" w:hAnsi="PT Astra Serif"/>
                <w:b/>
                <w:i/>
                <w:sz w:val="26"/>
                <w:u w:val="single"/>
              </w:rPr>
              <w:t>Электроснабжение:</w:t>
            </w:r>
          </w:p>
          <w:p>
            <w:pPr>
              <w:pStyle w:val="Normal"/>
              <w:ind w:left="0" w:right="0" w:firstLine="567"/>
              <w:jc w:val="both"/>
              <w:rPr>
                <w:rFonts w:ascii="PT Astra Serif" w:hAnsi="PT Astra Serif"/>
                <w:sz w:val="26"/>
              </w:rPr>
            </w:pPr>
            <w:r>
              <w:rPr>
                <w:rFonts w:ascii="PT Astra Serif" w:hAnsi="PT Astra Serif"/>
                <w:b/>
                <w:sz w:val="26"/>
              </w:rPr>
              <w:t>АО «Курские электрические сети»</w:t>
            </w:r>
            <w:r>
              <w:rPr>
                <w:rFonts w:ascii="PT Astra Serif" w:hAnsi="PT Astra Serif"/>
                <w:sz w:val="26"/>
              </w:rPr>
              <w:t xml:space="preserve"> сообщает о наличии технической возможности технологического присоединения к электрическим сетям проектируемого объекта на земельном участке.</w:t>
            </w:r>
          </w:p>
          <w:p>
            <w:pPr>
              <w:pStyle w:val="Normal"/>
              <w:ind w:left="0" w:right="0" w:firstLine="567"/>
              <w:jc w:val="both"/>
              <w:rPr>
                <w:rFonts w:ascii="PT Astra Serif" w:hAnsi="PT Astra Serif"/>
                <w:sz w:val="26"/>
              </w:rPr>
            </w:pPr>
            <w:r>
              <w:rPr>
                <w:rFonts w:ascii="PT Astra Serif" w:hAnsi="PT Astra Serif"/>
                <w:sz w:val="26"/>
              </w:rPr>
              <w:t>В соответствии с Правилами технологического присоединения энергопринимающих устройств потребителей электрической энергии, утвержденных постановлением Правительства РФ от 27.12.2004 г. №861:</w:t>
            </w:r>
          </w:p>
          <w:p>
            <w:pPr>
              <w:pStyle w:val="Normal"/>
              <w:ind w:left="0" w:right="0" w:firstLine="567"/>
              <w:jc w:val="both"/>
              <w:rPr>
                <w:rFonts w:ascii="PT Astra Serif" w:hAnsi="PT Astra Serif"/>
                <w:sz w:val="26"/>
              </w:rPr>
            </w:pPr>
            <w:r>
              <w:rPr>
                <w:rFonts w:ascii="PT Astra Serif" w:hAnsi="PT Astra Serif"/>
                <w:sz w:val="26"/>
              </w:rPr>
              <w:t>- срок осуществления мероприятий по технологическому присоединению, который исчисляется со дня заключения договора аренды об осуществлении технологического присоединения и составляет от 4 месяцев до 2 лет;</w:t>
            </w:r>
          </w:p>
          <w:p>
            <w:pPr>
              <w:pStyle w:val="Normal"/>
              <w:ind w:left="0" w:right="0" w:firstLine="567"/>
              <w:jc w:val="both"/>
              <w:rPr>
                <w:rFonts w:ascii="PT Astra Serif" w:hAnsi="PT Astra Serif"/>
                <w:sz w:val="26"/>
              </w:rPr>
            </w:pPr>
            <w:r>
              <w:rPr>
                <w:rFonts w:ascii="PT Astra Serif" w:hAnsi="PT Astra Serif"/>
                <w:sz w:val="26"/>
              </w:rPr>
              <w:t>- срок действия технических условий не может составлять менее 2 лет и более 5 лет.</w:t>
            </w:r>
          </w:p>
          <w:p>
            <w:pPr>
              <w:pStyle w:val="Normal"/>
              <w:ind w:left="0" w:right="0" w:firstLine="567"/>
              <w:jc w:val="both"/>
              <w:rPr>
                <w:rFonts w:ascii="PT Astra Serif" w:hAnsi="PT Astra Serif"/>
                <w:sz w:val="26"/>
              </w:rPr>
            </w:pPr>
            <w:r>
              <w:rPr>
                <w:rFonts w:ascii="PT Astra Serif" w:hAnsi="PT Astra Serif"/>
                <w:sz w:val="26"/>
              </w:rPr>
              <w:t>Указать максимальную нагрузку и предельную свободную мощность существующих сетей на данный момент не представляется возможным, в связи с отсутствуем информации об уровне напряжения, к которому планируется осуществить технологическое присоединение энергопринимающих устройств потребителей электрической энергии.</w:t>
            </w:r>
          </w:p>
          <w:p>
            <w:pPr>
              <w:pStyle w:val="Normal"/>
              <w:ind w:left="0" w:right="0" w:firstLine="567"/>
              <w:jc w:val="both"/>
              <w:rPr>
                <w:rFonts w:ascii="PT Astra Serif" w:hAnsi="PT Astra Serif"/>
                <w:sz w:val="26"/>
              </w:rPr>
            </w:pPr>
            <w:r>
              <w:rPr>
                <w:rFonts w:ascii="PT Astra Serif" w:hAnsi="PT Astra Serif"/>
                <w:sz w:val="26"/>
              </w:rPr>
              <w:t>Размер платы за технологическое присоединение к электрическим сетям АО «Курские электрические сети» определяется в соответствии с постановлениями комитета по тарифам и ценам Курской области от 21.12.2018 №75 или от 22.12.2017 №107.</w:t>
            </w:r>
          </w:p>
          <w:p>
            <w:pPr>
              <w:pStyle w:val="Normal"/>
              <w:ind w:left="0" w:right="0" w:firstLine="567"/>
              <w:jc w:val="both"/>
              <w:rPr>
                <w:rFonts w:ascii="PT Astra Serif" w:hAnsi="PT Astra Serif"/>
                <w:sz w:val="26"/>
              </w:rPr>
            </w:pPr>
            <w:r>
              <w:rPr>
                <w:rFonts w:ascii="PT Astra Serif" w:hAnsi="PT Astra Serif"/>
                <w:b/>
                <w:sz w:val="26"/>
              </w:rPr>
              <w:t>Филиал ПАО «МРСК Центра» - «Курскэнерго»</w:t>
            </w:r>
            <w:r>
              <w:rPr>
                <w:rFonts w:ascii="PT Astra Serif" w:hAnsi="PT Astra Serif"/>
                <w:sz w:val="26"/>
              </w:rPr>
              <w:t xml:space="preserve"> готов в установленном порядке осуществить технологическое присоединение объекта, планируемого к строительству на земельном участке.</w:t>
            </w:r>
          </w:p>
          <w:p>
            <w:pPr>
              <w:pStyle w:val="Normal"/>
              <w:ind w:left="0" w:right="0" w:firstLine="567"/>
              <w:jc w:val="both"/>
              <w:rPr>
                <w:rFonts w:ascii="PT Astra Serif" w:hAnsi="PT Astra Serif"/>
                <w:sz w:val="26"/>
              </w:rPr>
            </w:pPr>
            <w:r>
              <w:rPr>
                <w:rFonts w:ascii="PT Astra Serif" w:hAnsi="PT Astra Serif"/>
                <w:sz w:val="26"/>
              </w:rPr>
              <w:t>Для осуществления технологического присоединения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электрического хозяйства, принадлежащих сетевым организациям и иным лицам, к электрическим сетям, утвержденным постановлением правительства РФ от 27.12.2004 №861 (далее – Правила) необходимо:</w:t>
            </w:r>
          </w:p>
          <w:p>
            <w:pPr>
              <w:pStyle w:val="Normal"/>
              <w:ind w:left="0" w:right="0" w:firstLine="567"/>
              <w:jc w:val="both"/>
              <w:rPr>
                <w:rFonts w:ascii="PT Astra Serif" w:hAnsi="PT Astra Serif"/>
                <w:sz w:val="26"/>
              </w:rPr>
            </w:pPr>
            <w:r>
              <w:rPr>
                <w:rFonts w:ascii="PT Astra Serif" w:hAnsi="PT Astra Serif"/>
                <w:sz w:val="26"/>
              </w:rPr>
              <w:t>1. В соответствии с п. 6 Правил заключить договор об осуществлении технологического присоединения к электрическим сетям филиала ПАО «МРСК Центра» - «Курскэнерго».</w:t>
            </w:r>
          </w:p>
          <w:p>
            <w:pPr>
              <w:pStyle w:val="Normal"/>
              <w:ind w:left="0" w:right="0" w:firstLine="567"/>
              <w:jc w:val="both"/>
              <w:rPr>
                <w:rFonts w:ascii="PT Astra Serif" w:hAnsi="PT Astra Serif"/>
                <w:sz w:val="26"/>
              </w:rPr>
            </w:pPr>
            <w:r>
              <w:rPr>
                <w:rFonts w:ascii="PT Astra Serif" w:hAnsi="PT Astra Serif"/>
                <w:sz w:val="26"/>
              </w:rPr>
              <w:t>2. В соответствии с п. 8 Правил для заключения договора об осуществлении технологического присоединения, необходимо направить в адрес филиала ПАО «МРСК-Центра» - «Курскэнерго» заявку на технологическое присоединение, оформленную в соответствии с требованиями действующего законодательства.</w:t>
            </w:r>
          </w:p>
          <w:p>
            <w:pPr>
              <w:pStyle w:val="Normal"/>
              <w:ind w:left="0" w:right="0" w:firstLine="567"/>
              <w:jc w:val="both"/>
              <w:rPr>
                <w:rFonts w:ascii="PT Astra Serif" w:hAnsi="PT Astra Serif"/>
                <w:sz w:val="26"/>
              </w:rPr>
            </w:pPr>
            <w:r>
              <w:rPr>
                <w:rFonts w:ascii="PT Astra Serif" w:hAnsi="PT Astra Serif"/>
                <w:sz w:val="26"/>
              </w:rPr>
              <w:t xml:space="preserve">Сведения о величине свободной мощности доступны на сайте ПАО «МРСК-Центра» - «Курскэнерго» </w:t>
            </w:r>
            <w:r>
              <w:rPr>
                <w:rFonts w:ascii="PT Astra Serif" w:hAnsi="PT Astra Serif"/>
                <w:sz w:val="26"/>
                <w:u w:val="single"/>
              </w:rPr>
              <w:t>www.mrsk-1.ru</w:t>
            </w:r>
            <w:r>
              <w:rPr>
                <w:rFonts w:ascii="PT Astra Serif" w:hAnsi="PT Astra Serif"/>
                <w:sz w:val="26"/>
              </w:rPr>
              <w:t xml:space="preserve"> и обновляются 1 раз в квартал. Имеющаяся в настоящий момент свободная мощность на центрах питания не может быть зарезервирована без заключения договора технологического присоединения. </w:t>
            </w:r>
          </w:p>
          <w:p>
            <w:pPr>
              <w:pStyle w:val="Normal"/>
              <w:ind w:left="0" w:right="0" w:firstLine="567"/>
              <w:jc w:val="both"/>
              <w:rPr>
                <w:rFonts w:ascii="PT Astra Serif" w:hAnsi="PT Astra Serif"/>
                <w:sz w:val="26"/>
              </w:rPr>
            </w:pPr>
            <w:r>
              <w:rPr>
                <w:rFonts w:ascii="PT Astra Serif" w:hAnsi="PT Astra Serif"/>
                <w:sz w:val="26"/>
              </w:rPr>
              <w:t>В случае размещения объекта (земельного участка) в границах охранных зон ЛЭП, находящихся на балансе филиала ПАО «МРСК-Центра» - «Курскэнерго» необходимо принимать во внимание Постановление Правительства РФ от 24.02.2009 №160 «О порядке установления охранных зон объектов электрического хозяйства и особых условий использования земельных участков, расположенных в границах таких зон», а также действующих Правил устройства электроустановок.</w:t>
            </w:r>
          </w:p>
          <w:p>
            <w:pPr>
              <w:pStyle w:val="Normal"/>
              <w:ind w:left="0" w:right="0" w:firstLine="567"/>
              <w:jc w:val="both"/>
              <w:rPr>
                <w:rFonts w:ascii="PT Astra Serif" w:hAnsi="PT Astra Serif"/>
                <w:sz w:val="26"/>
              </w:rPr>
            </w:pPr>
            <w:r>
              <w:rPr>
                <w:rFonts w:ascii="PT Astra Serif" w:hAnsi="PT Astra Serif"/>
                <w:b/>
                <w:i/>
                <w:sz w:val="26"/>
                <w:u w:val="single"/>
              </w:rPr>
              <w:t>Теплоснабжение:</w:t>
            </w:r>
          </w:p>
          <w:p>
            <w:pPr>
              <w:pStyle w:val="Normal"/>
              <w:ind w:left="0" w:right="0" w:firstLine="567"/>
              <w:jc w:val="both"/>
              <w:rPr>
                <w:rFonts w:ascii="PT Astra Serif" w:hAnsi="PT Astra Serif"/>
                <w:sz w:val="26"/>
              </w:rPr>
            </w:pPr>
            <w:r>
              <w:rPr>
                <w:rFonts w:ascii="PT Astra Serif" w:hAnsi="PT Astra Serif"/>
                <w:b/>
                <w:sz w:val="26"/>
              </w:rPr>
              <w:t xml:space="preserve">Филиал ПАО «Квадра» - «Курская генерация» </w:t>
            </w:r>
            <w:r>
              <w:rPr>
                <w:rFonts w:ascii="PT Astra Serif" w:hAnsi="PT Astra Serif"/>
                <w:sz w:val="26"/>
              </w:rPr>
              <w:t>сообщает:</w:t>
            </w:r>
          </w:p>
          <w:p>
            <w:pPr>
              <w:pStyle w:val="Normal"/>
              <w:ind w:left="0" w:right="0" w:firstLine="567"/>
              <w:jc w:val="both"/>
              <w:rPr>
                <w:rFonts w:ascii="PT Astra Serif" w:hAnsi="PT Astra Serif"/>
                <w:sz w:val="26"/>
              </w:rPr>
            </w:pPr>
            <w:r>
              <w:rPr>
                <w:rFonts w:ascii="PT Astra Serif" w:hAnsi="PT Astra Serif"/>
                <w:sz w:val="26"/>
              </w:rPr>
              <w:t>1. Технические условия на присоединение к тепловым сетям действительны до 30.08.2022.</w:t>
            </w:r>
          </w:p>
          <w:p>
            <w:pPr>
              <w:pStyle w:val="Normal"/>
              <w:ind w:left="0" w:right="0" w:firstLine="567"/>
              <w:jc w:val="both"/>
              <w:rPr>
                <w:rFonts w:ascii="PT Astra Serif" w:hAnsi="PT Astra Serif"/>
                <w:sz w:val="26"/>
              </w:rPr>
            </w:pPr>
            <w:r>
              <w:rPr>
                <w:rFonts w:ascii="PT Astra Serif" w:hAnsi="PT Astra Serif"/>
                <w:sz w:val="26"/>
              </w:rPr>
              <w:t>2. Источник теплоснабжения – Курская ТЭЦ-1.</w:t>
            </w:r>
          </w:p>
          <w:p>
            <w:pPr>
              <w:pStyle w:val="Normal"/>
              <w:ind w:left="0" w:right="0" w:firstLine="567"/>
              <w:jc w:val="both"/>
              <w:rPr>
                <w:rFonts w:ascii="PT Astra Serif" w:hAnsi="PT Astra Serif"/>
                <w:sz w:val="26"/>
              </w:rPr>
            </w:pPr>
            <w:r>
              <w:rPr>
                <w:rFonts w:ascii="PT Astra Serif" w:hAnsi="PT Astra Serif"/>
                <w:sz w:val="26"/>
              </w:rPr>
              <w:t>3. Максимальная нагрузка в точке подключения – 0,1 Гкал/час.</w:t>
            </w:r>
          </w:p>
          <w:p>
            <w:pPr>
              <w:pStyle w:val="Normal"/>
              <w:ind w:left="0" w:right="0" w:firstLine="567"/>
              <w:jc w:val="both"/>
              <w:rPr>
                <w:rFonts w:ascii="PT Astra Serif" w:hAnsi="PT Astra Serif"/>
                <w:sz w:val="26"/>
              </w:rPr>
            </w:pPr>
            <w:r>
              <w:rPr>
                <w:rFonts w:ascii="PT Astra Serif" w:hAnsi="PT Astra Serif"/>
                <w:sz w:val="26"/>
              </w:rPr>
              <w:t>4. В соответствии с постановлением Правительства РФ от 05.07.2018 №787 заказчику необходимо подать заявку на подключение, определить требуемую нагрузку и получить конкретные условия подключения объекта к системе теплоснабжения. Обязательства организации, предоставившей технические условия, предусматривающие максимальную нагрузку, сроки подключения объектов к системе теплоснабжения и срок действия технических условий прекращаются в случае, если в течение одного года (при комплексном освоении земельного участка в целях жилищного строительства – в течение 3 лет) со дня предоставления правообладателю земельного участка указанных технических условий он не определит необходимую ему для подключения к системе теплоснабжения нагрузку в пределах предоставляемых ему технических условий и не подаст заявку о заключении договора на подключение.</w:t>
            </w:r>
          </w:p>
          <w:p>
            <w:pPr>
              <w:pStyle w:val="Normal"/>
              <w:ind w:left="0" w:right="0" w:firstLine="567"/>
              <w:jc w:val="both"/>
              <w:rPr>
                <w:rFonts w:ascii="PT Astra Serif" w:hAnsi="PT Astra Serif"/>
                <w:sz w:val="26"/>
              </w:rPr>
            </w:pPr>
            <w:r>
              <w:rPr>
                <w:rFonts w:ascii="PT Astra Serif" w:hAnsi="PT Astra Serif"/>
                <w:sz w:val="26"/>
              </w:rPr>
              <w:t xml:space="preserve">5. Срок подключения определяется в соответствии с п. 42 Постановления Правительства РФ от 05.07.2018 №787. </w:t>
            </w:r>
          </w:p>
          <w:p>
            <w:pPr>
              <w:pStyle w:val="Normal"/>
              <w:ind w:left="0" w:right="0" w:firstLine="567"/>
              <w:jc w:val="both"/>
              <w:rPr>
                <w:rFonts w:ascii="PT Astra Serif" w:hAnsi="PT Astra Serif"/>
                <w:sz w:val="26"/>
              </w:rPr>
            </w:pPr>
            <w:r>
              <w:rPr>
                <w:rFonts w:ascii="PT Astra Serif" w:hAnsi="PT Astra Serif"/>
                <w:b/>
                <w:i/>
                <w:sz w:val="26"/>
                <w:u w:val="single"/>
              </w:rPr>
              <w:t>Газоснабжение:</w:t>
            </w:r>
          </w:p>
          <w:p>
            <w:pPr>
              <w:pStyle w:val="Normal"/>
              <w:ind w:left="0" w:right="0" w:firstLine="567"/>
              <w:jc w:val="both"/>
              <w:rPr>
                <w:rFonts w:ascii="PT Astra Serif" w:hAnsi="PT Astra Serif"/>
                <w:sz w:val="26"/>
              </w:rPr>
            </w:pPr>
            <w:r>
              <w:rPr>
                <w:rFonts w:ascii="PT Astra Serif" w:hAnsi="PT Astra Serif"/>
                <w:b/>
                <w:sz w:val="26"/>
              </w:rPr>
              <w:t xml:space="preserve">ОАО «Газпром газораспределение Курск» </w:t>
            </w:r>
            <w:r>
              <w:rPr>
                <w:rFonts w:ascii="PT Astra Serif" w:hAnsi="PT Astra Serif"/>
                <w:sz w:val="26"/>
              </w:rPr>
              <w:t>сообщает о наличии технической возможности технологического присоединения к сетям газоснабжения проектируемого объекта на земельном участке.</w:t>
            </w:r>
          </w:p>
          <w:p>
            <w:pPr>
              <w:pStyle w:val="Normal"/>
              <w:ind w:left="0" w:right="0" w:firstLine="567"/>
              <w:jc w:val="both"/>
              <w:rPr>
                <w:rFonts w:ascii="PT Astra Serif" w:hAnsi="PT Astra Serif"/>
                <w:sz w:val="26"/>
              </w:rPr>
            </w:pPr>
            <w:r>
              <w:rPr>
                <w:rFonts w:ascii="PT Astra Serif" w:hAnsi="PT Astra Serif"/>
                <w:sz w:val="26"/>
              </w:rPr>
              <w:t>Предельная свободная мощность существующих сетей газораспределения –        15 куб.м./час.</w:t>
            </w:r>
          </w:p>
          <w:p>
            <w:pPr>
              <w:pStyle w:val="Normal"/>
              <w:ind w:left="0" w:right="0" w:firstLine="567"/>
              <w:jc w:val="both"/>
              <w:rPr>
                <w:rFonts w:ascii="PT Astra Serif" w:hAnsi="PT Astra Serif"/>
                <w:sz w:val="26"/>
              </w:rPr>
            </w:pPr>
            <w:r>
              <w:rPr>
                <w:rFonts w:ascii="PT Astra Serif" w:hAnsi="PT Astra Serif"/>
                <w:sz w:val="26"/>
              </w:rPr>
              <w:t>Максимальная нагрузка определяется после расчета планируемого максимального часового расхода природного газа объектом капитального строительства с учетом ранее выданных технических условий и не более предельной свободной мощности газораспределительной сети.</w:t>
            </w:r>
          </w:p>
          <w:p>
            <w:pPr>
              <w:pStyle w:val="Normal"/>
              <w:ind w:left="0" w:right="0" w:firstLine="567"/>
              <w:jc w:val="both"/>
              <w:rPr>
                <w:rFonts w:ascii="PT Astra Serif" w:hAnsi="PT Astra Serif"/>
                <w:sz w:val="26"/>
              </w:rPr>
            </w:pPr>
            <w:r>
              <w:rPr>
                <w:rFonts w:ascii="PT Astra Serif" w:hAnsi="PT Astra Serif"/>
                <w:sz w:val="26"/>
              </w:rPr>
              <w:t>Срок подключения (технологического присоединения) объекта к сетям газораспределения: согласно договору о подключении.</w:t>
            </w:r>
          </w:p>
          <w:p>
            <w:pPr>
              <w:pStyle w:val="Normal"/>
              <w:ind w:left="0" w:right="0" w:firstLine="567"/>
              <w:jc w:val="both"/>
              <w:rPr>
                <w:rFonts w:ascii="PT Astra Serif" w:hAnsi="PT Astra Serif"/>
                <w:sz w:val="26"/>
              </w:rPr>
            </w:pPr>
            <w:r>
              <w:rPr>
                <w:rFonts w:ascii="PT Astra Serif" w:hAnsi="PT Astra Serif"/>
                <w:sz w:val="26"/>
              </w:rPr>
              <w:t>Срок действия технических условий: 3 года с момента их выдачи.</w:t>
            </w:r>
          </w:p>
          <w:p>
            <w:pPr>
              <w:pStyle w:val="Normal"/>
              <w:ind w:left="0" w:right="0" w:firstLine="567"/>
              <w:jc w:val="both"/>
              <w:rPr>
                <w:rFonts w:ascii="PT Astra Serif" w:hAnsi="PT Astra Serif"/>
                <w:sz w:val="26"/>
              </w:rPr>
            </w:pPr>
            <w:r>
              <w:rPr>
                <w:rFonts w:ascii="PT Astra Serif" w:hAnsi="PT Astra Serif"/>
                <w:sz w:val="26"/>
              </w:rPr>
              <w:t>Плата за подключение (технологическое присоединение) установлена Постановлением Комитета по тарифам и ценам Курской области от 08.11.2018 №17  для объектов:</w:t>
            </w:r>
          </w:p>
          <w:p>
            <w:pPr>
              <w:pStyle w:val="Normal"/>
              <w:ind w:left="0" w:right="0" w:firstLine="567"/>
              <w:jc w:val="both"/>
              <w:rPr>
                <w:rFonts w:ascii="PT Astra Serif" w:hAnsi="PT Astra Serif"/>
                <w:sz w:val="26"/>
              </w:rPr>
            </w:pPr>
            <w:r>
              <w:rPr>
                <w:rFonts w:ascii="PT Astra Serif" w:hAnsi="PT Astra Serif"/>
                <w:sz w:val="26"/>
              </w:rPr>
              <w:t>- с максимальным расходом газа, не превышающим 5 куб.м/час с учетом расхода газа ранее подключенного в данной точке подключения газоиспользующего оборудования заявителя (для прочих заявителей, не намеревающихся использовать газ для целей предпринимательской (коммерческой) деятельности), при условии, что расстояние от газоиспользующего оборудования до сети газораспределения газораспределительной организации, в которую подана заявка, с проектным рабочим давлением не более 0,3 Мпа, измеряемое по прямой линии (наименьшее расстояние), составляет не более 200 м и сами мероприятия предполагают строительство только газопроводов – вводов (без устройства пунктов редуцирования газа) в соответствии с утвержденной в установленном порядке схемой газоснабжения территории поселения (если имеется) в размере 26 965,32 руб. без учета НДС (32 358,38 руб. с учетом НДС);</w:t>
            </w:r>
          </w:p>
          <w:p>
            <w:pPr>
              <w:pStyle w:val="Normal"/>
              <w:ind w:left="0" w:right="0" w:firstLine="567"/>
              <w:jc w:val="both"/>
              <w:rPr>
                <w:rFonts w:ascii="PT Astra Serif" w:hAnsi="PT Astra Serif"/>
                <w:sz w:val="26"/>
              </w:rPr>
            </w:pPr>
            <w:r>
              <w:rPr>
                <w:rFonts w:ascii="PT Astra Serif" w:hAnsi="PT Astra Serif"/>
                <w:sz w:val="26"/>
              </w:rPr>
              <w:t>- с максимальным расходом газа, не превышающим 15 куб.м./час с учетом расчета газа ранее подключенного в данной точке подключения газоиспользующего оборудования заявителя (для прочих заявителей, не намеревающихся использовать газ для целей предпринимательской (коммерческой) деятельности), при условии, что расстояние от газоиспользующего оборудования до сети газораспределения газораспределительной организации, в которую подана заявка, с проектным рабочим давлением не более 0,3 МПа, измеряемое по прямой линии (наименьшее расстояние), составляет не более 200 м и сами мероприятия предполагают строительство только газопроводов – вводов (без устройства пунктов редуцирования газа) в соответствии с утвержденной в установленном порядке схемой газоснабжения территории поседения (если имеется) в размере 44 101,29 руб. без учета НДС (52 921,55 руб. с учетом НДС);</w:t>
            </w:r>
          </w:p>
          <w:p>
            <w:pPr>
              <w:pStyle w:val="Normal"/>
              <w:ind w:left="0" w:right="0" w:firstLine="567"/>
              <w:jc w:val="both"/>
              <w:rPr>
                <w:rFonts w:ascii="PT Astra Serif" w:hAnsi="PT Astra Serif"/>
                <w:sz w:val="26"/>
              </w:rPr>
            </w:pPr>
            <w:r>
              <w:rPr>
                <w:rFonts w:ascii="PT Astra Serif" w:hAnsi="PT Astra Serif"/>
                <w:sz w:val="26"/>
              </w:rPr>
              <w:t>- для случаев технологического присоединения газоиспользующего оборудования с максимальным расходом газа 500 куб.м./час и менее, и (или) проектным рабочим давлением в присоединяемом газопроводе 0,6 МПа, кроме вышеуказанных случаев, а также Постановлением Комитета по тарифам и ценам Курской области от 29.04.2019 №8 установлены стандартизированные ставки применяемые для расчета платы за технологическое присоединение и покрытие расходов ГРО.</w:t>
            </w:r>
          </w:p>
          <w:p>
            <w:pPr>
              <w:pStyle w:val="Normal"/>
              <w:ind w:left="0" w:right="0" w:firstLine="567"/>
              <w:jc w:val="both"/>
              <w:rPr>
                <w:rFonts w:ascii="PT Astra Serif" w:hAnsi="PT Astra Serif"/>
                <w:sz w:val="26"/>
              </w:rPr>
            </w:pPr>
            <w:r>
              <w:rPr>
                <w:rFonts w:ascii="PT Astra Serif" w:hAnsi="PT Astra Serif"/>
                <w:sz w:val="26"/>
              </w:rPr>
              <w:t>Источник газоснабжения: ГРС-2.</w:t>
            </w:r>
          </w:p>
          <w:p>
            <w:pPr>
              <w:pStyle w:val="Normal"/>
              <w:ind w:left="0" w:right="0" w:firstLine="567"/>
              <w:jc w:val="both"/>
              <w:rPr>
                <w:rFonts w:ascii="PT Astra Serif" w:hAnsi="PT Astra Serif"/>
                <w:sz w:val="26"/>
              </w:rPr>
            </w:pPr>
            <w:r>
              <w:rPr>
                <w:rFonts w:ascii="PT Astra Serif" w:hAnsi="PT Astra Serif"/>
                <w:b/>
                <w:i/>
                <w:sz w:val="26"/>
                <w:u w:val="single"/>
              </w:rPr>
              <w:t>Водоотведение поверхностных (дождевых) сточных и дренажных вод:</w:t>
            </w:r>
          </w:p>
          <w:p>
            <w:pPr>
              <w:pStyle w:val="Normal"/>
              <w:ind w:left="0" w:right="0" w:firstLine="567"/>
              <w:jc w:val="both"/>
              <w:rPr>
                <w:rFonts w:ascii="PT Astra Serif" w:hAnsi="PT Astra Serif"/>
                <w:sz w:val="26"/>
              </w:rPr>
            </w:pPr>
            <w:r>
              <w:rPr>
                <w:rFonts w:ascii="PT Astra Serif" w:hAnsi="PT Astra Serif"/>
                <w:b/>
                <w:sz w:val="26"/>
              </w:rPr>
              <w:t>Комитет жилищно-коммунального хозяйства города Курска</w:t>
            </w:r>
            <w:r>
              <w:rPr>
                <w:rFonts w:ascii="PT Astra Serif" w:hAnsi="PT Astra Serif"/>
                <w:sz w:val="26"/>
              </w:rPr>
              <w:t xml:space="preserve"> сообщает, что в районе земельного участка сети городской дождевой канализации отсутствуют.</w:t>
            </w:r>
          </w:p>
          <w:p>
            <w:pPr>
              <w:pStyle w:val="Normal"/>
              <w:ind w:left="0" w:right="0" w:firstLine="567"/>
              <w:jc w:val="both"/>
              <w:rPr>
                <w:rFonts w:ascii="PT Astra Serif" w:hAnsi="PT Astra Serif"/>
                <w:sz w:val="26"/>
              </w:rPr>
            </w:pPr>
            <w:r>
              <w:rPr>
                <w:rFonts w:ascii="PT Astra Serif" w:hAnsi="PT Astra Serif"/>
                <w:b/>
                <w:sz w:val="26"/>
              </w:rPr>
              <w:t>Начальный ежегодный размер арендной платы</w:t>
            </w:r>
            <w:r>
              <w:rPr>
                <w:rFonts w:ascii="PT Astra Serif" w:hAnsi="PT Astra Serif"/>
                <w:sz w:val="26"/>
              </w:rPr>
              <w:t xml:space="preserve"> за земельный участок –                      </w:t>
            </w:r>
            <w:r>
              <w:rPr>
                <w:rFonts w:ascii="PT Astra Serif" w:hAnsi="PT Astra Serif"/>
                <w:b/>
                <w:sz w:val="26"/>
              </w:rPr>
              <w:t>100 860,00 руб. (сто тысяч восемьсот шестьдесят рублей 00 копеек).</w:t>
            </w:r>
          </w:p>
          <w:p>
            <w:pPr>
              <w:pStyle w:val="Normal"/>
              <w:ind w:left="0" w:right="0" w:firstLine="567"/>
              <w:jc w:val="both"/>
              <w:rPr>
                <w:rFonts w:ascii="PT Astra Serif" w:hAnsi="PT Astra Serif"/>
                <w:sz w:val="26"/>
              </w:rPr>
            </w:pPr>
            <w:r>
              <w:rPr>
                <w:rFonts w:ascii="PT Astra Serif" w:hAnsi="PT Astra Serif"/>
                <w:sz w:val="26"/>
              </w:rPr>
              <w:t xml:space="preserve">Шаг аукциона – в пределах 3 % начального ежегодного размера арендной платы –  </w:t>
            </w:r>
            <w:r>
              <w:rPr>
                <w:rFonts w:ascii="PT Astra Serif" w:hAnsi="PT Astra Serif"/>
                <w:b/>
                <w:sz w:val="26"/>
              </w:rPr>
              <w:t>3 000,00 руб. (три тысячи рублей 00 копеек).</w:t>
            </w:r>
          </w:p>
          <w:p>
            <w:pPr>
              <w:pStyle w:val="Normal"/>
              <w:ind w:left="0" w:right="0" w:firstLine="567"/>
              <w:rPr>
                <w:rFonts w:ascii="PT Astra Serif" w:hAnsi="PT Astra Serif"/>
                <w:sz w:val="26"/>
              </w:rPr>
            </w:pPr>
            <w:r>
              <w:rPr>
                <w:rFonts w:ascii="PT Astra Serif" w:hAnsi="PT Astra Serif"/>
                <w:sz w:val="26"/>
              </w:rPr>
              <w:t xml:space="preserve">Задаток в размере 100 % начального ежегодного размера арендной платы –                    </w:t>
            </w:r>
            <w:r>
              <w:rPr>
                <w:rFonts w:ascii="PT Astra Serif" w:hAnsi="PT Astra Serif"/>
                <w:b/>
                <w:sz w:val="26"/>
              </w:rPr>
              <w:t>100 860,00 руб. (сто тысяч восемьсот шестьдесят рублей 00 копеек).</w:t>
            </w:r>
          </w:p>
          <w:p>
            <w:pPr>
              <w:pStyle w:val="Normal"/>
              <w:ind w:left="0" w:right="0" w:firstLine="567"/>
              <w:jc w:val="both"/>
              <w:rPr>
                <w:rFonts w:ascii="PT Astra Serif" w:hAnsi="PT Astra Serif"/>
                <w:sz w:val="26"/>
              </w:rPr>
            </w:pPr>
            <w:r>
              <w:rPr>
                <w:rFonts w:ascii="PT Astra Serif" w:hAnsi="PT Astra Serif"/>
                <w:b/>
                <w:sz w:val="26"/>
              </w:rPr>
              <w:t>Срок аренды земельного участка – 18 (восемнадцать) месяцев.</w:t>
            </w:r>
          </w:p>
          <w:p>
            <w:pPr>
              <w:pStyle w:val="Normal"/>
              <w:ind w:left="0" w:right="0" w:firstLine="567"/>
              <w:jc w:val="both"/>
              <w:rPr>
                <w:rFonts w:ascii="PT Astra Serif" w:hAnsi="PT Astra Serif"/>
                <w:sz w:val="26"/>
              </w:rPr>
            </w:pPr>
            <w:r>
              <w:rPr>
                <w:rFonts w:ascii="PT Astra Serif" w:hAnsi="PT Astra Serif"/>
                <w:b/>
                <w:sz w:val="26"/>
              </w:rPr>
              <w:t>Лот №2.</w:t>
            </w:r>
            <w:r>
              <w:rPr>
                <w:rFonts w:ascii="PT Astra Serif" w:hAnsi="PT Astra Serif"/>
                <w:sz w:val="26"/>
              </w:rPr>
              <w:t xml:space="preserve"> </w:t>
            </w:r>
          </w:p>
          <w:p>
            <w:pPr>
              <w:pStyle w:val="Normal"/>
              <w:ind w:left="0" w:right="0" w:firstLine="567"/>
              <w:jc w:val="both"/>
              <w:rPr>
                <w:rFonts w:ascii="PT Astra Serif" w:hAnsi="PT Astra Serif"/>
                <w:sz w:val="26"/>
              </w:rPr>
            </w:pPr>
            <w:r>
              <w:rPr>
                <w:rFonts w:ascii="PT Astra Serif" w:hAnsi="PT Astra Serif"/>
                <w:sz w:val="26"/>
              </w:rPr>
              <w:t xml:space="preserve">Предметом аукциона является право на заключение договора аренды земельного участка с кадастровым номером 46:29:102008:110, площадью                           7134 кв.м.,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из категории земель населенных пунктов, расположенного по адресу: Курская обл., г. Курск, ул. Карла Маркса, (в районе кирпичного завода), с видом разрешенного использования земельного участка – "склады". </w:t>
            </w:r>
          </w:p>
          <w:p>
            <w:pPr>
              <w:pStyle w:val="Normal"/>
              <w:ind w:left="0" w:right="0" w:firstLine="567"/>
              <w:jc w:val="both"/>
              <w:rPr>
                <w:rFonts w:ascii="PT Astra Serif" w:hAnsi="PT Astra Serif"/>
                <w:sz w:val="26"/>
              </w:rPr>
            </w:pPr>
            <w:r>
              <w:rPr>
                <w:rFonts w:ascii="PT Astra Serif" w:hAnsi="PT Astra Serif"/>
                <w:sz w:val="26"/>
              </w:rPr>
              <w:t>Согласно корректуре Генерального плана города Курска, утвержденной решением Курского городского Собрания от 22.12.2016 №326-5-ОС, земельный участок относится к производственной функциональной зоне.</w:t>
            </w:r>
          </w:p>
          <w:p>
            <w:pPr>
              <w:pStyle w:val="Normal"/>
              <w:ind w:left="0" w:right="0" w:firstLine="567"/>
              <w:jc w:val="both"/>
              <w:rPr>
                <w:rFonts w:ascii="PT Astra Serif" w:hAnsi="PT Astra Serif"/>
                <w:sz w:val="26"/>
              </w:rPr>
            </w:pPr>
            <w:r>
              <w:rPr>
                <w:rFonts w:ascii="PT Astra Serif" w:hAnsi="PT Astra Serif"/>
                <w:sz w:val="26"/>
              </w:rPr>
              <w:t>В соответствии с Правилами землепользования и застройки муниципального образования «Город Курск», утвержденными решением Курского городского Собрания от 23.10.2007 №388-3-РС (далее - Правила), земельный участок расположен в территориальной зоне П-3 – для производственных предприятий III и IV класса вредности (санитарно-защитная зона от 100 до 300 м).</w:t>
            </w:r>
          </w:p>
          <w:p>
            <w:pPr>
              <w:pStyle w:val="Normal"/>
              <w:ind w:left="0" w:right="0" w:firstLine="567"/>
              <w:jc w:val="both"/>
              <w:rPr>
                <w:rFonts w:ascii="PT Astra Serif" w:hAnsi="PT Astra Serif"/>
                <w:sz w:val="26"/>
              </w:rPr>
            </w:pPr>
            <w:r>
              <w:rPr>
                <w:rFonts w:ascii="PT Astra Serif" w:hAnsi="PT Astra Serif"/>
                <w:sz w:val="26"/>
              </w:rPr>
              <w:t>В данной территориальной зоне предусмотрен вид разрешенного использования - "склады", код – 6.9.</w:t>
            </w:r>
          </w:p>
          <w:p>
            <w:pPr>
              <w:pStyle w:val="Normal"/>
              <w:ind w:left="0" w:right="0" w:firstLine="567"/>
              <w:jc w:val="both"/>
              <w:rPr>
                <w:rFonts w:ascii="PT Astra Serif" w:hAnsi="PT Astra Serif"/>
                <w:sz w:val="26"/>
              </w:rPr>
            </w:pPr>
            <w:r>
              <w:rPr>
                <w:rFonts w:ascii="PT Astra Serif" w:hAnsi="PT Astra Serif"/>
                <w:b/>
                <w:sz w:val="26"/>
              </w:rPr>
              <w:t>Условия использования земельного участка:</w:t>
            </w:r>
            <w:r>
              <w:rPr>
                <w:rFonts w:ascii="PT Astra Serif" w:hAnsi="PT Astra Serif"/>
                <w:sz w:val="26"/>
              </w:rPr>
              <w:t xml:space="preserve"> </w:t>
            </w:r>
          </w:p>
          <w:p>
            <w:pPr>
              <w:pStyle w:val="Normal"/>
              <w:ind w:left="0" w:right="0" w:firstLine="567"/>
              <w:jc w:val="both"/>
              <w:rPr>
                <w:rFonts w:ascii="PT Astra Serif" w:hAnsi="PT Astra Serif"/>
                <w:sz w:val="26"/>
              </w:rPr>
            </w:pPr>
            <w:r>
              <w:rPr>
                <w:rFonts w:ascii="PT Astra Serif" w:hAnsi="PT Astra Serif"/>
                <w:b/>
                <w:sz w:val="26"/>
              </w:rPr>
              <w:t xml:space="preserve">1. </w:t>
            </w:r>
            <w:r>
              <w:rPr>
                <w:rFonts w:ascii="PT Astra Serif" w:hAnsi="PT Astra Serif"/>
                <w:sz w:val="26"/>
              </w:rPr>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pPr>
              <w:pStyle w:val="Normal"/>
              <w:ind w:left="0" w:right="0" w:firstLine="567"/>
              <w:jc w:val="both"/>
              <w:rPr>
                <w:rFonts w:ascii="PT Astra Serif" w:hAnsi="PT Astra Serif"/>
                <w:sz w:val="26"/>
              </w:rPr>
            </w:pPr>
            <w:r>
              <w:rPr>
                <w:rFonts w:ascii="PT Astra Serif" w:hAnsi="PT Astra Serif"/>
                <w:b/>
                <w:sz w:val="26"/>
              </w:rPr>
              <w:t xml:space="preserve">2. </w:t>
            </w:r>
            <w:r>
              <w:rPr>
                <w:rFonts w:ascii="PT Astra Serif" w:hAnsi="PT Astra Serif"/>
                <w:sz w:val="26"/>
              </w:rPr>
              <w:t>Изменение вида разрешенного использования земельного участка                         не допускается.</w:t>
            </w:r>
          </w:p>
          <w:p>
            <w:pPr>
              <w:pStyle w:val="Normal"/>
              <w:ind w:left="0" w:right="0" w:firstLine="567"/>
              <w:jc w:val="both"/>
              <w:rPr>
                <w:rFonts w:ascii="PT Astra Serif" w:hAnsi="PT Astra Serif"/>
                <w:sz w:val="26"/>
              </w:rPr>
            </w:pPr>
            <w:r>
              <w:rPr>
                <w:rFonts w:ascii="PT Astra Serif" w:hAnsi="PT Astra Serif"/>
                <w:b/>
                <w:sz w:val="26"/>
              </w:rPr>
              <w:t xml:space="preserve">3. </w:t>
            </w:r>
            <w:r>
              <w:rPr>
                <w:rFonts w:ascii="PT Astra Serif" w:hAnsi="PT Astra Serif"/>
                <w:sz w:val="26"/>
              </w:rPr>
              <w:t>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w:t>
            </w:r>
          </w:p>
          <w:p>
            <w:pPr>
              <w:pStyle w:val="Normal"/>
              <w:ind w:left="0" w:right="0" w:firstLine="567"/>
              <w:jc w:val="both"/>
              <w:rPr>
                <w:rFonts w:ascii="PT Astra Serif" w:hAnsi="PT Astra Serif"/>
                <w:sz w:val="26"/>
              </w:rPr>
            </w:pPr>
            <w:r>
              <w:rPr>
                <w:rFonts w:ascii="PT Astra Serif" w:hAnsi="PT Astra Serif"/>
                <w:b/>
                <w:sz w:val="26"/>
              </w:rPr>
              <w:t>4.</w:t>
            </w:r>
            <w:r>
              <w:rPr>
                <w:rFonts w:ascii="PT Astra Serif" w:hAnsi="PT Astra Serif"/>
                <w:sz w:val="26"/>
              </w:rPr>
              <w:t xml:space="preserve"> Благоустройство территории (озеленение, подходы, подъезды, парковочные места) организовываются в границах земельного участка, предоставленного для строительства.</w:t>
            </w:r>
          </w:p>
          <w:p>
            <w:pPr>
              <w:pStyle w:val="Normal"/>
              <w:ind w:left="0" w:right="0" w:firstLine="567"/>
              <w:jc w:val="both"/>
              <w:rPr>
                <w:rFonts w:ascii="PT Astra Serif" w:hAnsi="PT Astra Serif"/>
                <w:color w:val="000000"/>
                <w:sz w:val="26"/>
              </w:rPr>
            </w:pPr>
            <w:r>
              <w:rPr>
                <w:rFonts w:ascii="PT Astra Serif" w:hAnsi="PT Astra Serif"/>
                <w:b/>
                <w:sz w:val="26"/>
              </w:rPr>
              <w:t>5.</w:t>
            </w:r>
            <w:r>
              <w:rPr>
                <w:rFonts w:ascii="PT Astra Serif" w:hAnsi="PT Astra Serif"/>
                <w:sz w:val="26"/>
              </w:rPr>
              <w:t xml:space="preserve"> Передача прав и обязанностей по договору аренды земельного участка третьему лицу</w:t>
            </w:r>
            <w:r>
              <w:rPr>
                <w:rFonts w:ascii="PT Astra Serif" w:hAnsi="PT Astra Serif"/>
                <w:color w:val="000000"/>
                <w:sz w:val="26"/>
              </w:rPr>
              <w:t xml:space="preserve"> не допускается.</w:t>
            </w:r>
          </w:p>
          <w:p>
            <w:pPr>
              <w:pStyle w:val="Normal"/>
              <w:ind w:left="0" w:right="0" w:firstLine="567"/>
              <w:jc w:val="both"/>
              <w:rPr>
                <w:rFonts w:ascii="PT Astra Serif" w:hAnsi="PT Astra Serif"/>
                <w:color w:val="000000"/>
                <w:sz w:val="26"/>
              </w:rPr>
            </w:pPr>
            <w:r>
              <w:rPr>
                <w:rFonts w:ascii="PT Astra Serif" w:hAnsi="PT Astra Serif"/>
                <w:b/>
                <w:color w:val="000000"/>
                <w:sz w:val="26"/>
              </w:rPr>
              <w:t>6.</w:t>
            </w:r>
            <w:r>
              <w:rPr>
                <w:rFonts w:ascii="PT Astra Serif" w:hAnsi="PT Astra Serif"/>
                <w:color w:val="000000"/>
                <w:sz w:val="26"/>
              </w:rPr>
              <w:t xml:space="preserve"> Передача арендованного земельного участка в субаренду не допускается.</w:t>
            </w:r>
          </w:p>
          <w:p>
            <w:pPr>
              <w:pStyle w:val="Normal"/>
              <w:ind w:left="0" w:right="0" w:firstLine="567"/>
              <w:jc w:val="both"/>
              <w:rPr>
                <w:rFonts w:ascii="PT Astra Serif" w:hAnsi="PT Astra Serif"/>
                <w:color w:val="000000"/>
                <w:sz w:val="26"/>
              </w:rPr>
            </w:pPr>
            <w:r>
              <w:rPr>
                <w:rFonts w:ascii="PT Astra Serif" w:hAnsi="PT Astra Serif"/>
                <w:b/>
                <w:color w:val="000000"/>
                <w:sz w:val="26"/>
              </w:rPr>
              <w:t xml:space="preserve">Существующие ограничения и обременения земельного участка: </w:t>
            </w:r>
          </w:p>
          <w:p>
            <w:pPr>
              <w:pStyle w:val="Normal"/>
              <w:ind w:left="0" w:right="0" w:firstLine="567"/>
              <w:jc w:val="both"/>
              <w:rPr>
                <w:rFonts w:ascii="PT Astra Serif" w:hAnsi="PT Astra Serif"/>
                <w:color w:val="000000"/>
                <w:sz w:val="26"/>
              </w:rPr>
            </w:pPr>
            <w:r>
              <w:rPr>
                <w:rFonts w:ascii="PT Astra Serif" w:hAnsi="PT Astra Serif"/>
                <w:b/>
                <w:i w:val="false"/>
                <w:caps w:val="false"/>
                <w:smallCaps w:val="false"/>
                <w:color w:val="000000"/>
                <w:spacing w:val="0"/>
                <w:sz w:val="26"/>
              </w:rPr>
              <w:t xml:space="preserve">1. </w:t>
            </w:r>
            <w:r>
              <w:rPr>
                <w:rFonts w:ascii="PT Astra Serif" w:hAnsi="PT Astra Serif"/>
                <w:b w:val="false"/>
                <w:i w:val="false"/>
                <w:caps w:val="false"/>
                <w:smallCaps w:val="false"/>
                <w:color w:val="000000"/>
                <w:spacing w:val="0"/>
                <w:sz w:val="26"/>
              </w:rPr>
              <w:t>Охранная зона ВЛ-10 кВ 427.16 от ПС Сапогово, Курский район, г. Курск, Курская область.</w:t>
            </w:r>
          </w:p>
          <w:p>
            <w:pPr>
              <w:pStyle w:val="Normal"/>
              <w:ind w:left="0" w:right="0" w:firstLine="567"/>
              <w:jc w:val="both"/>
              <w:rPr>
                <w:rFonts w:ascii="PT Astra Serif" w:hAnsi="PT Astra Serif"/>
                <w:color w:val="000000"/>
                <w:sz w:val="26"/>
              </w:rPr>
            </w:pPr>
            <w:r>
              <w:rPr>
                <w:rFonts w:ascii="PT Astra Serif" w:hAnsi="PT Astra Serif"/>
                <w:color w:val="000000"/>
                <w:sz w:val="26"/>
              </w:rPr>
              <w:t>Режим использования установлен Постановлением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pPr>
              <w:pStyle w:val="Normal"/>
              <w:ind w:left="0" w:right="0" w:firstLine="567"/>
              <w:jc w:val="both"/>
              <w:rPr>
                <w:rFonts w:ascii="PT Astra Serif" w:hAnsi="PT Astra Serif"/>
                <w:b w:val="false"/>
                <w:b w:val="false"/>
                <w:color w:val="000000"/>
                <w:sz w:val="26"/>
              </w:rPr>
            </w:pPr>
            <w:r>
              <w:rPr>
                <w:rFonts w:ascii="PT Astra Serif" w:hAnsi="PT Astra Serif"/>
                <w:b/>
                <w:color w:val="000000"/>
                <w:sz w:val="26"/>
              </w:rPr>
              <w:t xml:space="preserve">2. </w:t>
            </w:r>
            <w:r>
              <w:rPr>
                <w:rFonts w:ascii="PT Astra Serif" w:hAnsi="PT Astra Serif"/>
                <w:b w:val="false"/>
                <w:color w:val="000000"/>
                <w:sz w:val="26"/>
              </w:rPr>
              <w:t>Необходимо получение согласования с командиром воинской части 45119 вопроса ограничений застройки земельного участка.</w:t>
            </w:r>
          </w:p>
          <w:p>
            <w:pPr>
              <w:pStyle w:val="Normal"/>
              <w:ind w:left="0" w:right="0" w:firstLine="567"/>
              <w:jc w:val="both"/>
              <w:rPr>
                <w:rFonts w:ascii="PT Astra Serif" w:hAnsi="PT Astra Serif"/>
                <w:sz w:val="26"/>
              </w:rPr>
            </w:pPr>
            <w:r>
              <w:rPr>
                <w:rFonts w:ascii="PT Astra Serif" w:hAnsi="PT Astra Serif"/>
                <w:b/>
                <w:color w:val="000000"/>
                <w:sz w:val="26"/>
              </w:rPr>
              <w:t xml:space="preserve">3. </w:t>
            </w:r>
            <w:r>
              <w:rPr>
                <w:rFonts w:ascii="PT Astra Serif" w:hAnsi="PT Astra Serif"/>
                <w:color w:val="000000"/>
                <w:sz w:val="26"/>
              </w:rPr>
              <w:t>В случае проведения земляных, строительных, хозяйственных и иных работ, Заказчик работ, в соответствии со ст.ст. 28, 30, 31, 32, 36, 45.1 Федерального закона от 25.06.2002 №73-ФЗ «Об объектах культурного наследия (памятниках истории и культуры) народов Российской Федерации» и с п. 56 ст. 26 Федерального закона от 03.08.2018 №342-ФЗ «О внесении изменений в Градостроительный кодекс Российской Федерации и отдельные законодательные акты Российской Федерации» обязан:</w:t>
            </w:r>
          </w:p>
          <w:p>
            <w:pPr>
              <w:pStyle w:val="Normal"/>
              <w:ind w:left="0" w:right="0" w:firstLine="567"/>
              <w:jc w:val="both"/>
              <w:rPr>
                <w:rFonts w:ascii="PT Astra Serif" w:hAnsi="PT Astra Serif"/>
                <w:sz w:val="26"/>
              </w:rPr>
            </w:pPr>
            <w:r>
              <w:rPr>
                <w:rFonts w:ascii="PT Astra Serif" w:hAnsi="PT Astra Serif"/>
                <w:color w:val="000000"/>
                <w:sz w:val="26"/>
              </w:rPr>
              <w:t>- обеспечить проведение и финансирование историко-культурной экспертизы земельного участка, подлежащего воздействию земляных, строительных, хозяйственных и иных работ, путем археологической разведки, в порядке, установленном ст. 45.1 Федерального закона от 25.06.2002 №73-ФЗ «Об объектах культурного наследия (памятниках истории и культуры) народов Российской Федерации»;</w:t>
            </w:r>
          </w:p>
          <w:p>
            <w:pPr>
              <w:pStyle w:val="Normal"/>
              <w:ind w:left="0" w:right="0" w:firstLine="567"/>
              <w:jc w:val="both"/>
              <w:rPr>
                <w:rFonts w:ascii="PT Astra Serif" w:hAnsi="PT Astra Serif"/>
                <w:sz w:val="26"/>
              </w:rPr>
            </w:pPr>
            <w:r>
              <w:rPr>
                <w:rFonts w:ascii="PT Astra Serif" w:hAnsi="PT Astra Serif"/>
                <w:color w:val="000000"/>
                <w:sz w:val="26"/>
              </w:rPr>
              <w:t>- представить в Управление Администрации Курской области по охране объектов культурного наследия 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земельном участке, подлежащем воздействию земляных, строительных, хозяйственных и иных работ, а также заключение государственной историко-культурной экспертизы указанной документации (либо земельного участка).</w:t>
            </w:r>
          </w:p>
          <w:p>
            <w:pPr>
              <w:pStyle w:val="Normal"/>
              <w:ind w:left="0" w:right="0" w:firstLine="567"/>
              <w:jc w:val="both"/>
              <w:rPr>
                <w:rFonts w:ascii="PT Astra Serif" w:hAnsi="PT Astra Serif"/>
                <w:sz w:val="26"/>
              </w:rPr>
            </w:pPr>
            <w:r>
              <w:rPr>
                <w:rFonts w:ascii="PT Astra Serif" w:hAnsi="PT Astra Serif"/>
                <w:color w:val="000000"/>
                <w:sz w:val="26"/>
              </w:rPr>
              <w:t>В случае обнаружения в границах земельного участка, подлежащего воздействию земляных, строительных, хозяйственных и иных работ, объектов, обладающих признаками объекта археологического наследия, и после принятия Управлением Администрации Курской области по охране объектов культурного наследия решения о включении данных объектов в перечень выявленных объектов культурного наследия:</w:t>
            </w:r>
          </w:p>
          <w:p>
            <w:pPr>
              <w:pStyle w:val="Normal"/>
              <w:ind w:left="0" w:right="0" w:firstLine="567"/>
              <w:jc w:val="both"/>
              <w:rPr>
                <w:rFonts w:ascii="PT Astra Serif" w:hAnsi="PT Astra Serif"/>
                <w:sz w:val="26"/>
              </w:rPr>
            </w:pPr>
            <w:r>
              <w:rPr>
                <w:rFonts w:ascii="PT Astra Serif" w:hAnsi="PT Astra Serif"/>
                <w:color w:val="000000"/>
                <w:sz w:val="26"/>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по обеспечению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w:t>
            </w:r>
          </w:p>
          <w:p>
            <w:pPr>
              <w:pStyle w:val="Normal"/>
              <w:ind w:left="0" w:right="0" w:firstLine="567"/>
              <w:jc w:val="both"/>
              <w:rPr>
                <w:rFonts w:ascii="PT Astra Serif" w:hAnsi="PT Astra Serif"/>
                <w:sz w:val="26"/>
              </w:rPr>
            </w:pPr>
            <w:r>
              <w:rPr>
                <w:rFonts w:ascii="PT Astra Serif" w:hAnsi="PT Astra Serif"/>
                <w:color w:val="000000"/>
                <w:sz w:val="26"/>
              </w:rPr>
              <w:t>- 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Управление Администрации Курской области по охране объектов культурного наследия на согласование;</w:t>
            </w:r>
          </w:p>
          <w:p>
            <w:pPr>
              <w:pStyle w:val="Normal"/>
              <w:ind w:left="0" w:right="0" w:firstLine="567"/>
              <w:jc w:val="both"/>
              <w:rPr>
                <w:rFonts w:ascii="PT Astra Serif" w:hAnsi="PT Astra Serif"/>
                <w:sz w:val="26"/>
              </w:rPr>
            </w:pPr>
            <w:r>
              <w:rPr>
                <w:rFonts w:ascii="PT Astra Serif" w:hAnsi="PT Astra Serif"/>
                <w:color w:val="000000"/>
                <w:sz w:val="26"/>
              </w:rPr>
              <w:t>- обеспечить реализацию согласованной Управлением Администрации Курской области по охране объектов культурного наследия документации, обосновывающей меры по обеспечению сохранности выявленного объекта культурного (археологического) наследия.</w:t>
            </w:r>
          </w:p>
          <w:p>
            <w:pPr>
              <w:pStyle w:val="Normal"/>
              <w:ind w:left="0" w:right="0" w:firstLine="567"/>
              <w:jc w:val="both"/>
              <w:rPr>
                <w:rFonts w:ascii="PT Astra Serif" w:hAnsi="PT Astra Serif"/>
                <w:sz w:val="26"/>
              </w:rPr>
            </w:pPr>
            <w:r>
              <w:rPr>
                <w:rFonts w:ascii="PT Astra Serif" w:hAnsi="PT Astra Serif"/>
                <w:b/>
                <w:sz w:val="26"/>
              </w:rPr>
              <w:t>Предельные параметры разрешенного строительства, реконструкции объектов капитального строительства:</w:t>
            </w:r>
          </w:p>
          <w:p>
            <w:pPr>
              <w:pStyle w:val="Normal"/>
              <w:ind w:left="0" w:right="0" w:firstLine="567"/>
              <w:jc w:val="both"/>
              <w:rPr>
                <w:rFonts w:ascii="PT Astra Serif" w:hAnsi="PT Astra Serif"/>
                <w:sz w:val="26"/>
              </w:rPr>
            </w:pPr>
            <w:r>
              <w:rPr>
                <w:rFonts w:ascii="PT Astra Serif" w:hAnsi="PT Astra Serif"/>
                <w:sz w:val="26"/>
              </w:rPr>
              <w:t>- категория объекта капитального строительства – объект площадью                      от 1500 кв.м. до 5000 кв.м.;</w:t>
            </w:r>
          </w:p>
          <w:p>
            <w:pPr>
              <w:pStyle w:val="Normal"/>
              <w:numPr>
                <w:ilvl w:val="0"/>
                <w:numId w:val="2"/>
              </w:numPr>
              <w:ind w:left="0" w:right="0" w:firstLine="425"/>
              <w:jc w:val="both"/>
              <w:rPr>
                <w:rFonts w:ascii="PT Astra Serif" w:hAnsi="PT Astra Serif"/>
                <w:sz w:val="26"/>
              </w:rPr>
            </w:pPr>
            <w:r>
              <w:rPr>
                <w:rFonts w:ascii="PT Astra Serif" w:hAnsi="PT Astra Serif"/>
                <w:sz w:val="26"/>
              </w:rPr>
              <w:t>максимальное количество этажей надземной части зданий, строений, сооружений на территории земельных участков не устанавливается;</w:t>
            </w:r>
          </w:p>
          <w:p>
            <w:pPr>
              <w:pStyle w:val="Normal"/>
              <w:numPr>
                <w:ilvl w:val="0"/>
                <w:numId w:val="2"/>
              </w:numPr>
              <w:ind w:left="0" w:right="0" w:firstLine="567"/>
              <w:jc w:val="both"/>
              <w:rPr>
                <w:rFonts w:ascii="PT Astra Serif" w:hAnsi="PT Astra Serif"/>
                <w:sz w:val="26"/>
              </w:rPr>
            </w:pPr>
            <w:r>
              <w:rPr>
                <w:rFonts w:ascii="PT Astra Serif" w:hAnsi="PT Astra Serif"/>
                <w:sz w:val="26"/>
              </w:rPr>
              <w:t>ограничения использования земельных участков и объектов капитального строительства применяются с учетом требований, предусмотренных главой 12 Правил;</w:t>
            </w:r>
          </w:p>
          <w:p>
            <w:pPr>
              <w:pStyle w:val="Normal"/>
              <w:numPr>
                <w:ilvl w:val="0"/>
                <w:numId w:val="2"/>
              </w:numPr>
              <w:ind w:left="0" w:right="0" w:firstLine="567"/>
              <w:jc w:val="both"/>
              <w:rPr>
                <w:rFonts w:ascii="PT Astra Serif" w:hAnsi="PT Astra Serif"/>
                <w:sz w:val="26"/>
              </w:rPr>
            </w:pPr>
            <w:r>
              <w:rPr>
                <w:rFonts w:ascii="PT Astra Serif" w:hAnsi="PT Astra Serif"/>
                <w:sz w:val="26"/>
              </w:rPr>
              <w:t>предельные (минимальные и (или) максимальные размеры земельных участков;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максимальный процент застройки в границах земельного участка (отношение суммарной площади земельного участка, которая может быть застроена, ко всей площади земельного участка), не устанавливаются;</w:t>
            </w:r>
          </w:p>
          <w:p>
            <w:pPr>
              <w:pStyle w:val="Normal"/>
              <w:ind w:left="0" w:right="0" w:firstLine="567"/>
              <w:jc w:val="both"/>
              <w:rPr>
                <w:rFonts w:ascii="PT Astra Serif" w:hAnsi="PT Astra Serif"/>
                <w:sz w:val="26"/>
              </w:rPr>
            </w:pPr>
            <w:r>
              <w:rPr>
                <w:rFonts w:ascii="PT Astra Serif" w:hAnsi="PT Astra Serif"/>
                <w:sz w:val="26"/>
              </w:rPr>
              <w:t>- минимальное количество машино-мест для хранения индивидуального автотранспорта на территории земельных участков — на 100 мест - 7 машиномест;</w:t>
            </w:r>
          </w:p>
          <w:p>
            <w:pPr>
              <w:pStyle w:val="Normal"/>
              <w:ind w:left="0" w:right="0" w:firstLine="567"/>
              <w:jc w:val="both"/>
              <w:rPr>
                <w:rFonts w:ascii="PT Astra Serif" w:hAnsi="PT Astra Serif"/>
                <w:sz w:val="26"/>
              </w:rPr>
            </w:pPr>
            <w:r>
              <w:rPr>
                <w:rFonts w:ascii="PT Astra Serif" w:hAnsi="PT Astra Serif"/>
                <w:sz w:val="26"/>
              </w:rPr>
              <w:t>- минимально допустимая площадь озелененных территории земельных участков - 15% территории земельного участка.</w:t>
            </w:r>
          </w:p>
          <w:p>
            <w:pPr>
              <w:pStyle w:val="Normal"/>
              <w:ind w:left="0" w:right="0" w:firstLine="567"/>
              <w:jc w:val="both"/>
              <w:rPr>
                <w:rFonts w:ascii="PT Astra Serif" w:hAnsi="PT Astra Serif"/>
                <w:sz w:val="26"/>
              </w:rPr>
            </w:pPr>
            <w:r>
              <w:rPr>
                <w:rFonts w:ascii="PT Astra Serif" w:hAnsi="PT Astra Serif"/>
                <w:b/>
                <w:sz w:val="26"/>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p>
            <w:pPr>
              <w:pStyle w:val="Normal"/>
              <w:ind w:left="0" w:right="0" w:firstLine="567"/>
              <w:jc w:val="both"/>
              <w:rPr>
                <w:rFonts w:ascii="PT Astra Serif" w:hAnsi="PT Astra Serif"/>
                <w:sz w:val="26"/>
              </w:rPr>
            </w:pPr>
            <w:r>
              <w:rPr>
                <w:rFonts w:ascii="PT Astra Serif" w:hAnsi="PT Astra Serif"/>
                <w:b/>
                <w:i/>
                <w:sz w:val="26"/>
                <w:u w:val="single"/>
              </w:rPr>
              <w:t>Водоснабжение, водоотведение:</w:t>
            </w:r>
          </w:p>
          <w:p>
            <w:pPr>
              <w:pStyle w:val="Normal"/>
              <w:ind w:left="0" w:right="0" w:firstLine="567"/>
              <w:jc w:val="both"/>
              <w:rPr>
                <w:rFonts w:ascii="PT Astra Serif" w:hAnsi="PT Astra Serif"/>
                <w:sz w:val="26"/>
              </w:rPr>
            </w:pPr>
            <w:r>
              <w:rPr>
                <w:rFonts w:ascii="PT Astra Serif" w:hAnsi="PT Astra Serif"/>
                <w:b/>
                <w:sz w:val="26"/>
              </w:rPr>
              <w:t xml:space="preserve">МУП «Курскводоканал» </w:t>
            </w:r>
            <w:r>
              <w:rPr>
                <w:rFonts w:ascii="PT Astra Serif" w:hAnsi="PT Astra Serif"/>
                <w:sz w:val="26"/>
              </w:rPr>
              <w:t>сообщает, что в районе земельного участка муниципальные сети водоснабжения и водоотведения отсутствуют.</w:t>
            </w:r>
          </w:p>
          <w:p>
            <w:pPr>
              <w:pStyle w:val="Normal"/>
              <w:ind w:left="0" w:right="0" w:firstLine="567"/>
              <w:jc w:val="both"/>
              <w:rPr>
                <w:rFonts w:ascii="PT Astra Serif" w:hAnsi="PT Astra Serif"/>
                <w:sz w:val="26"/>
              </w:rPr>
            </w:pPr>
            <w:r>
              <w:rPr>
                <w:rFonts w:ascii="PT Astra Serif" w:hAnsi="PT Astra Serif"/>
                <w:b/>
                <w:i/>
                <w:sz w:val="26"/>
                <w:u w:val="single"/>
              </w:rPr>
              <w:t>Электроснабжение:</w:t>
            </w:r>
          </w:p>
          <w:p>
            <w:pPr>
              <w:pStyle w:val="Normal"/>
              <w:ind w:left="0" w:right="0" w:firstLine="567"/>
              <w:jc w:val="both"/>
              <w:rPr>
                <w:rFonts w:ascii="PT Astra Serif" w:hAnsi="PT Astra Serif"/>
                <w:sz w:val="26"/>
              </w:rPr>
            </w:pPr>
            <w:r>
              <w:rPr>
                <w:rFonts w:ascii="PT Astra Serif" w:hAnsi="PT Astra Serif"/>
                <w:b/>
                <w:sz w:val="26"/>
              </w:rPr>
              <w:t>АО «Курские электрические сети»</w:t>
            </w:r>
            <w:r>
              <w:rPr>
                <w:rFonts w:ascii="PT Astra Serif" w:hAnsi="PT Astra Serif"/>
                <w:sz w:val="26"/>
              </w:rPr>
              <w:t xml:space="preserve"> сообщает о наличии технической возможности технологического присоединения к электрическим сетям проектируемого объекта на земельном участке.</w:t>
            </w:r>
          </w:p>
          <w:p>
            <w:pPr>
              <w:pStyle w:val="Normal"/>
              <w:ind w:left="0" w:right="0" w:firstLine="567"/>
              <w:jc w:val="both"/>
              <w:rPr>
                <w:rFonts w:ascii="PT Astra Serif" w:hAnsi="PT Astra Serif"/>
                <w:sz w:val="26"/>
              </w:rPr>
            </w:pPr>
            <w:r>
              <w:rPr>
                <w:rFonts w:ascii="PT Astra Serif" w:hAnsi="PT Astra Serif"/>
                <w:sz w:val="26"/>
              </w:rPr>
              <w:t>В соответствии с Правилами технологического присоединения энергопринимающих устройств потребителей электрической энергии, утвержденных постановлением Правительства РФ от 27.12.2004 г. №861:</w:t>
            </w:r>
          </w:p>
          <w:p>
            <w:pPr>
              <w:pStyle w:val="Normal"/>
              <w:ind w:left="0" w:right="0" w:firstLine="567"/>
              <w:jc w:val="both"/>
              <w:rPr>
                <w:rFonts w:ascii="PT Astra Serif" w:hAnsi="PT Astra Serif"/>
                <w:sz w:val="26"/>
              </w:rPr>
            </w:pPr>
            <w:r>
              <w:rPr>
                <w:rFonts w:ascii="PT Astra Serif" w:hAnsi="PT Astra Serif"/>
                <w:sz w:val="26"/>
              </w:rPr>
              <w:t>- срок осуществления мероприятий по технологическому присоединению, который исчисляется со дня заключения договора аренды об осуществлении технологического присоединения и составляет от 4 месяцев до 2 лет;</w:t>
            </w:r>
          </w:p>
          <w:p>
            <w:pPr>
              <w:pStyle w:val="Normal"/>
              <w:ind w:left="0" w:right="0" w:firstLine="567"/>
              <w:jc w:val="both"/>
              <w:rPr>
                <w:rFonts w:ascii="PT Astra Serif" w:hAnsi="PT Astra Serif"/>
                <w:sz w:val="26"/>
              </w:rPr>
            </w:pPr>
            <w:r>
              <w:rPr>
                <w:rFonts w:ascii="PT Astra Serif" w:hAnsi="PT Astra Serif"/>
                <w:sz w:val="26"/>
              </w:rPr>
              <w:t>- срок действия технических условий не может составлять менее 2 лет и более 5 лет.</w:t>
            </w:r>
          </w:p>
          <w:p>
            <w:pPr>
              <w:pStyle w:val="Normal"/>
              <w:ind w:left="0" w:right="0" w:firstLine="567"/>
              <w:jc w:val="both"/>
              <w:rPr>
                <w:rFonts w:ascii="PT Astra Serif" w:hAnsi="PT Astra Serif"/>
                <w:sz w:val="26"/>
              </w:rPr>
            </w:pPr>
            <w:r>
              <w:rPr>
                <w:rFonts w:ascii="PT Astra Serif" w:hAnsi="PT Astra Serif"/>
                <w:sz w:val="26"/>
              </w:rPr>
              <w:t>Указать максимальную нагрузку и предельную свободную мощность существующих сетей на данный момент не представляется возможным, в связи с отсутствуем информации об уровне напряжения, к которому планируется осуществить технологическое присоединение энергопринимающих устройств потребителей электрической энергии.</w:t>
            </w:r>
          </w:p>
          <w:p>
            <w:pPr>
              <w:pStyle w:val="Normal"/>
              <w:ind w:left="0" w:right="0" w:firstLine="567"/>
              <w:jc w:val="both"/>
              <w:rPr>
                <w:rFonts w:ascii="PT Astra Serif" w:hAnsi="PT Astra Serif"/>
                <w:sz w:val="26"/>
              </w:rPr>
            </w:pPr>
            <w:r>
              <w:rPr>
                <w:rFonts w:ascii="PT Astra Serif" w:hAnsi="PT Astra Serif"/>
                <w:sz w:val="26"/>
              </w:rPr>
              <w:t>Размер платы за технологическое присоединение к электрическим сетям АО «Курские электрические сети» определяется в соответствии с постановлениями комитета по тарифам и ценам Курской области от 21.12.2018 №75 или от 22.12.2017 №107.</w:t>
            </w:r>
          </w:p>
          <w:p>
            <w:pPr>
              <w:pStyle w:val="Normal"/>
              <w:ind w:left="0" w:right="0" w:firstLine="567"/>
              <w:jc w:val="both"/>
              <w:rPr>
                <w:rFonts w:ascii="PT Astra Serif" w:hAnsi="PT Astra Serif"/>
                <w:sz w:val="26"/>
              </w:rPr>
            </w:pPr>
            <w:r>
              <w:rPr>
                <w:rFonts w:ascii="PT Astra Serif" w:hAnsi="PT Astra Serif"/>
                <w:b/>
                <w:sz w:val="26"/>
              </w:rPr>
              <w:t>Филиал ПАО «МРСК Центра» - «Курскэнерго»</w:t>
            </w:r>
            <w:r>
              <w:rPr>
                <w:rFonts w:ascii="PT Astra Serif" w:hAnsi="PT Astra Serif"/>
                <w:sz w:val="26"/>
              </w:rPr>
              <w:t xml:space="preserve"> готов в установленном порядке осуществить технологическое присоединение объекта, планируемого к строительству на земельном участке.</w:t>
            </w:r>
          </w:p>
          <w:p>
            <w:pPr>
              <w:pStyle w:val="Normal"/>
              <w:ind w:left="0" w:right="0" w:firstLine="567"/>
              <w:jc w:val="both"/>
              <w:rPr>
                <w:rFonts w:ascii="PT Astra Serif" w:hAnsi="PT Astra Serif"/>
                <w:sz w:val="26"/>
              </w:rPr>
            </w:pPr>
            <w:r>
              <w:rPr>
                <w:rFonts w:ascii="PT Astra Serif" w:hAnsi="PT Astra Serif"/>
                <w:sz w:val="26"/>
              </w:rPr>
              <w:t>Для осуществления технологического присоединения к электрическим сетям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электрического хозяйства, принадлежащих сетевым организациям и иным лицам, к электрическим сетям, утвержденным постановлением правительства РФ от 27.12.2004 №861 (далее – Правила) необходимо:</w:t>
            </w:r>
          </w:p>
          <w:p>
            <w:pPr>
              <w:pStyle w:val="Normal"/>
              <w:ind w:left="0" w:right="0" w:firstLine="567"/>
              <w:jc w:val="both"/>
              <w:rPr>
                <w:rFonts w:ascii="PT Astra Serif" w:hAnsi="PT Astra Serif"/>
                <w:sz w:val="26"/>
              </w:rPr>
            </w:pPr>
            <w:r>
              <w:rPr>
                <w:rFonts w:ascii="PT Astra Serif" w:hAnsi="PT Astra Serif"/>
                <w:sz w:val="26"/>
              </w:rPr>
              <w:t>1. В соответствии с п. 6 Правил заключить договор об осуществлении технологического присоединения к электрическим сетям филиала ПАО «МРСК Центра» - «Курскэнерго».</w:t>
            </w:r>
          </w:p>
          <w:p>
            <w:pPr>
              <w:pStyle w:val="Normal"/>
              <w:ind w:left="0" w:right="0" w:firstLine="567"/>
              <w:jc w:val="both"/>
              <w:rPr>
                <w:rFonts w:ascii="PT Astra Serif" w:hAnsi="PT Astra Serif"/>
                <w:sz w:val="26"/>
              </w:rPr>
            </w:pPr>
            <w:r>
              <w:rPr>
                <w:rFonts w:ascii="PT Astra Serif" w:hAnsi="PT Astra Serif"/>
                <w:sz w:val="26"/>
              </w:rPr>
              <w:t>2. В соответствии с п. 8 Правил для заключения договора об осуществлении технологического присоединения, необходимо направить в адрес филиала ПАО «МРСК-Центра» - «Курскэнерго» заявку на технологическое присоединение, оформленную в соответствии с требованиями действующего законодательства.</w:t>
            </w:r>
          </w:p>
          <w:p>
            <w:pPr>
              <w:pStyle w:val="Normal"/>
              <w:ind w:left="0" w:right="0" w:firstLine="567"/>
              <w:jc w:val="both"/>
              <w:rPr>
                <w:rFonts w:ascii="PT Astra Serif" w:hAnsi="PT Astra Serif"/>
                <w:sz w:val="26"/>
              </w:rPr>
            </w:pPr>
            <w:r>
              <w:rPr>
                <w:rFonts w:ascii="PT Astra Serif" w:hAnsi="PT Astra Serif"/>
                <w:sz w:val="26"/>
              </w:rPr>
              <w:t xml:space="preserve">Сведения о величине свободной мощности доступны на сайте ПАО «МРСК-Центра» - «Курскэнерго» </w:t>
            </w:r>
            <w:r>
              <w:rPr>
                <w:rFonts w:ascii="PT Astra Serif" w:hAnsi="PT Astra Serif"/>
                <w:sz w:val="26"/>
                <w:u w:val="single"/>
              </w:rPr>
              <w:t>www.mrsk-1.ru</w:t>
            </w:r>
            <w:r>
              <w:rPr>
                <w:rFonts w:ascii="PT Astra Serif" w:hAnsi="PT Astra Serif"/>
                <w:sz w:val="26"/>
              </w:rPr>
              <w:t xml:space="preserve"> и обновляются 1 раз в квартал. Имеющаяся в настоящий момент свободная мощность на центрах питания не может быть зарезервирована без заключения договора технологического присоединения. </w:t>
            </w:r>
          </w:p>
          <w:p>
            <w:pPr>
              <w:pStyle w:val="Normal"/>
              <w:ind w:left="0" w:right="0" w:firstLine="567"/>
              <w:jc w:val="both"/>
              <w:rPr>
                <w:rFonts w:ascii="PT Astra Serif" w:hAnsi="PT Astra Serif"/>
                <w:sz w:val="26"/>
              </w:rPr>
            </w:pPr>
            <w:r>
              <w:rPr>
                <w:rFonts w:ascii="PT Astra Serif" w:hAnsi="PT Astra Serif"/>
                <w:sz w:val="26"/>
              </w:rPr>
              <w:t>В случае размещения объекта (земельного участка) в границах охранных зон ЛЭП, находящихся на балансе филиала ПАО «МРСК-Центра» - «Курскэнерго» необходимо принимать во внимание Постановление Правительства РФ от 24.02.2009 №160 «О порядке установления охранных зон объектов электрического хозяйства и особых условий использования земельных участков, расположенных в границах таких зон», а также действующих Правил устройства электроустановок.</w:t>
            </w:r>
          </w:p>
          <w:p>
            <w:pPr>
              <w:pStyle w:val="Normal"/>
              <w:ind w:left="0" w:right="0" w:firstLine="567"/>
              <w:jc w:val="both"/>
              <w:rPr>
                <w:rFonts w:ascii="PT Astra Serif" w:hAnsi="PT Astra Serif"/>
                <w:sz w:val="26"/>
              </w:rPr>
            </w:pPr>
            <w:r>
              <w:rPr>
                <w:rFonts w:ascii="PT Astra Serif" w:hAnsi="PT Astra Serif"/>
                <w:b/>
                <w:i/>
                <w:sz w:val="26"/>
                <w:u w:val="single"/>
              </w:rPr>
              <w:t>Теплоснабжение:</w:t>
            </w:r>
          </w:p>
          <w:p>
            <w:pPr>
              <w:pStyle w:val="Normal"/>
              <w:ind w:left="0" w:right="0" w:firstLine="567"/>
              <w:jc w:val="both"/>
              <w:rPr>
                <w:rFonts w:ascii="PT Astra Serif" w:hAnsi="PT Astra Serif"/>
                <w:sz w:val="26"/>
              </w:rPr>
            </w:pPr>
            <w:r>
              <w:rPr>
                <w:rFonts w:ascii="PT Astra Serif" w:hAnsi="PT Astra Serif"/>
                <w:b/>
                <w:sz w:val="26"/>
              </w:rPr>
              <w:t xml:space="preserve">Филиал ПАО «Квадра» - «Курская генерация» </w:t>
            </w:r>
            <w:r>
              <w:rPr>
                <w:rFonts w:ascii="PT Astra Serif" w:hAnsi="PT Astra Serif"/>
                <w:sz w:val="26"/>
              </w:rPr>
              <w:t>сообщает, что из-за экономической нецелесообразности централизованного теплоснабжения на территориях с низкой плотностью тепловых нагрузок Схемой теплоснабжения                г. Курска на 2014-2019 г.г. теплоснабжение новой индивидуальной и малоэтажной жилой и общественной застройки предусматривается от индивидуальных тепловых генераторов.</w:t>
            </w:r>
          </w:p>
          <w:p>
            <w:pPr>
              <w:pStyle w:val="Normal"/>
              <w:ind w:left="0" w:right="0" w:firstLine="567"/>
              <w:jc w:val="both"/>
              <w:rPr>
                <w:rFonts w:ascii="PT Astra Serif" w:hAnsi="PT Astra Serif"/>
                <w:sz w:val="26"/>
              </w:rPr>
            </w:pPr>
            <w:r>
              <w:rPr>
                <w:rFonts w:ascii="PT Astra Serif" w:hAnsi="PT Astra Serif"/>
                <w:sz w:val="26"/>
              </w:rPr>
              <w:t xml:space="preserve">Подключение объекта целесообразно от ИТГ.  </w:t>
            </w:r>
          </w:p>
          <w:p>
            <w:pPr>
              <w:pStyle w:val="Normal"/>
              <w:ind w:left="0" w:right="0" w:firstLine="567"/>
              <w:jc w:val="both"/>
              <w:rPr>
                <w:rFonts w:ascii="PT Astra Serif" w:hAnsi="PT Astra Serif"/>
                <w:sz w:val="26"/>
              </w:rPr>
            </w:pPr>
            <w:r>
              <w:rPr>
                <w:rFonts w:ascii="PT Astra Serif" w:hAnsi="PT Astra Serif"/>
                <w:b/>
                <w:i/>
                <w:sz w:val="26"/>
                <w:u w:val="single"/>
              </w:rPr>
              <w:t>Газоснабжение:</w:t>
            </w:r>
          </w:p>
          <w:p>
            <w:pPr>
              <w:pStyle w:val="Normal"/>
              <w:ind w:left="0" w:right="0" w:firstLine="567"/>
              <w:jc w:val="both"/>
              <w:rPr>
                <w:rFonts w:ascii="PT Astra Serif" w:hAnsi="PT Astra Serif"/>
                <w:sz w:val="26"/>
              </w:rPr>
            </w:pPr>
            <w:r>
              <w:rPr>
                <w:rFonts w:ascii="PT Astra Serif" w:hAnsi="PT Astra Serif"/>
                <w:b/>
                <w:sz w:val="26"/>
              </w:rPr>
              <w:t xml:space="preserve">ОАО «Газпром газораспределение Курск» </w:t>
            </w:r>
            <w:r>
              <w:rPr>
                <w:rFonts w:ascii="PT Astra Serif" w:hAnsi="PT Astra Serif"/>
                <w:sz w:val="26"/>
              </w:rPr>
              <w:t>сообщает о наличии технической возможности технологического присоединения к сетям газоснабжения проектируемого объекта на земельном участке.</w:t>
            </w:r>
          </w:p>
          <w:p>
            <w:pPr>
              <w:pStyle w:val="Normal"/>
              <w:ind w:left="0" w:right="0" w:firstLine="567"/>
              <w:jc w:val="both"/>
              <w:rPr>
                <w:rFonts w:ascii="PT Astra Serif" w:hAnsi="PT Astra Serif"/>
                <w:sz w:val="26"/>
              </w:rPr>
            </w:pPr>
            <w:r>
              <w:rPr>
                <w:rFonts w:ascii="PT Astra Serif" w:hAnsi="PT Astra Serif"/>
                <w:sz w:val="26"/>
              </w:rPr>
              <w:t>Предельная свободная мощность существующих сетей газораспределения –        65 куб.м./час.</w:t>
            </w:r>
          </w:p>
          <w:p>
            <w:pPr>
              <w:pStyle w:val="Normal"/>
              <w:ind w:left="0" w:right="0" w:firstLine="567"/>
              <w:jc w:val="both"/>
              <w:rPr>
                <w:rFonts w:ascii="PT Astra Serif" w:hAnsi="PT Astra Serif"/>
                <w:sz w:val="26"/>
              </w:rPr>
            </w:pPr>
            <w:r>
              <w:rPr>
                <w:rFonts w:ascii="PT Astra Serif" w:hAnsi="PT Astra Serif"/>
                <w:sz w:val="26"/>
              </w:rPr>
              <w:t>Максимальная нагрузка определяется после расчета планируемого максимального часового расхода природного газа объектом капитального строительства с учетом ранее выданных технических условий и не более предельной свободной мощности газораспределительной сети.</w:t>
            </w:r>
          </w:p>
          <w:p>
            <w:pPr>
              <w:pStyle w:val="Normal"/>
              <w:ind w:left="0" w:right="0" w:firstLine="567"/>
              <w:jc w:val="both"/>
              <w:rPr>
                <w:rFonts w:ascii="PT Astra Serif" w:hAnsi="PT Astra Serif"/>
                <w:sz w:val="26"/>
              </w:rPr>
            </w:pPr>
            <w:r>
              <w:rPr>
                <w:rFonts w:ascii="PT Astra Serif" w:hAnsi="PT Astra Serif"/>
                <w:sz w:val="26"/>
              </w:rPr>
              <w:t>Срок подключения (технологического присоединения) объекта к сетям газораспределения: согласно договору о подключении.</w:t>
            </w:r>
          </w:p>
          <w:p>
            <w:pPr>
              <w:pStyle w:val="Normal"/>
              <w:ind w:left="0" w:right="0" w:firstLine="567"/>
              <w:jc w:val="both"/>
              <w:rPr>
                <w:rFonts w:ascii="PT Astra Serif" w:hAnsi="PT Astra Serif"/>
                <w:sz w:val="26"/>
              </w:rPr>
            </w:pPr>
            <w:r>
              <w:rPr>
                <w:rFonts w:ascii="PT Astra Serif" w:hAnsi="PT Astra Serif"/>
                <w:sz w:val="26"/>
              </w:rPr>
              <w:t>Срок действия технических условий: 3 года с момента их выдачи.</w:t>
            </w:r>
          </w:p>
          <w:p>
            <w:pPr>
              <w:pStyle w:val="Normal"/>
              <w:ind w:left="0" w:right="0" w:firstLine="567"/>
              <w:jc w:val="both"/>
              <w:rPr>
                <w:rFonts w:ascii="PT Astra Serif" w:hAnsi="PT Astra Serif"/>
                <w:sz w:val="26"/>
              </w:rPr>
            </w:pPr>
            <w:r>
              <w:rPr>
                <w:rFonts w:ascii="PT Astra Serif" w:hAnsi="PT Astra Serif"/>
                <w:sz w:val="26"/>
              </w:rPr>
              <w:t>Плата за подключение (технологическое присоединение) установлена Постановлением Комитета по тарифам и ценам Курской области от 08.11.2018 №17  для объектов:</w:t>
            </w:r>
          </w:p>
          <w:p>
            <w:pPr>
              <w:pStyle w:val="Normal"/>
              <w:ind w:left="0" w:right="0" w:firstLine="567"/>
              <w:jc w:val="both"/>
              <w:rPr>
                <w:rFonts w:ascii="PT Astra Serif" w:hAnsi="PT Astra Serif"/>
                <w:sz w:val="26"/>
              </w:rPr>
            </w:pPr>
            <w:r>
              <w:rPr>
                <w:rFonts w:ascii="PT Astra Serif" w:hAnsi="PT Astra Serif"/>
                <w:sz w:val="26"/>
              </w:rPr>
              <w:t>- с максимальным расходом газа, не превышающим 5 куб.м/час с учетом расхода газа ранее подключенного в данной точке подключения газоиспользующего оборудования заявителя (для прочих заявителей, не намеревающихся использовать газ для целей предпринимательской (коммерческой) деятельности), при условии, что расстояние от газоиспользующего оборудования до сети газораспределения газораспределительной организации, в которую подана заявка, с проектным рабочим давлением не более 0,3 Мпа, измеряемое по прямой линии (наименьшее расстояние), составляет не более 200 м и сами мероприятия предполагают строительство только газопроводов – вводов (без устройства пунктов редуцирования газа) в соответствии с утвержденной в установленном порядке схемой газоснабжения территории поселения (если имеется) в размере 26 965,32 руб. без учета НДС (32 358,38 руб. с учетом НДС);</w:t>
            </w:r>
          </w:p>
          <w:p>
            <w:pPr>
              <w:pStyle w:val="Normal"/>
              <w:ind w:left="0" w:right="0" w:firstLine="567"/>
              <w:jc w:val="both"/>
              <w:rPr>
                <w:rFonts w:ascii="PT Astra Serif" w:hAnsi="PT Astra Serif"/>
                <w:sz w:val="26"/>
              </w:rPr>
            </w:pPr>
            <w:r>
              <w:rPr>
                <w:rFonts w:ascii="PT Astra Serif" w:hAnsi="PT Astra Serif"/>
                <w:sz w:val="26"/>
              </w:rPr>
              <w:t>- с максимальным расходом газа, не превышающим 15 куб.м./час с учетом расчета газа ранее подключенного в данной точке подключения газоиспользующего оборудования заявителя (для прочих заявителей, не намеревающихся использовать газ для целей предпринимательской (коммерческой) деятельности), при условии, что расстояние от газоиспользующего оборудования до сети газораспределения газораспределительной организации, в которую подана заявка, с проектным рабочим давлением не более 0,3 МПа, измеряемое по прямой линии (наименьшее расстояние), составляет не более 200 м и сами мероприятия предполагают строительство только газопроводов – вводов (без устройства пунктов редуцирования газа) в соответствии с утвержденной в установленном порядке схемой газоснабжения территории поседения (если имеется) в размере 44 101,29 руб. без учета НДС (52 921,55 руб. с учетом НДС);</w:t>
            </w:r>
          </w:p>
          <w:p>
            <w:pPr>
              <w:pStyle w:val="Normal"/>
              <w:ind w:left="0" w:right="0" w:firstLine="567"/>
              <w:jc w:val="both"/>
              <w:rPr>
                <w:rFonts w:ascii="PT Astra Serif" w:hAnsi="PT Astra Serif"/>
                <w:sz w:val="26"/>
              </w:rPr>
            </w:pPr>
            <w:r>
              <w:rPr>
                <w:rFonts w:ascii="PT Astra Serif" w:hAnsi="PT Astra Serif"/>
                <w:sz w:val="26"/>
              </w:rPr>
              <w:t>- для случаев технологического присоединения газоиспользующего оборудования с максимальным расходом газа 500 куб.м./час и менее, и (или) проектным рабочим давлением в присоединяемом газопроводе 0,6 МПа, кроме вышеуказанных случаев, а также Постановлением Комитета по тарифам и ценам Курской области от 29.04.2019 №8 установлены стандартизированные ставки применяемые для расчета платы за технологическое присоединение и покрытие расходов ГРО.</w:t>
            </w:r>
          </w:p>
          <w:p>
            <w:pPr>
              <w:pStyle w:val="Normal"/>
              <w:ind w:left="0" w:right="0" w:firstLine="567"/>
              <w:jc w:val="both"/>
              <w:rPr>
                <w:rFonts w:ascii="PT Astra Serif" w:hAnsi="PT Astra Serif"/>
                <w:sz w:val="26"/>
              </w:rPr>
            </w:pPr>
            <w:r>
              <w:rPr>
                <w:rFonts w:ascii="PT Astra Serif" w:hAnsi="PT Astra Serif"/>
                <w:sz w:val="26"/>
              </w:rPr>
              <w:t>Источник газоснабжения: ГРС-10.</w:t>
            </w:r>
          </w:p>
          <w:p>
            <w:pPr>
              <w:pStyle w:val="Normal"/>
              <w:ind w:left="0" w:right="0" w:firstLine="567"/>
              <w:jc w:val="both"/>
              <w:rPr>
                <w:rFonts w:ascii="PT Astra Serif" w:hAnsi="PT Astra Serif"/>
                <w:sz w:val="26"/>
              </w:rPr>
            </w:pPr>
            <w:r>
              <w:rPr>
                <w:rFonts w:ascii="PT Astra Serif" w:hAnsi="PT Astra Serif"/>
                <w:b/>
                <w:i/>
                <w:sz w:val="26"/>
                <w:u w:val="single"/>
              </w:rPr>
              <w:t>Водоотведение поверхностных (дождевых) сточных и дренажных вод:</w:t>
            </w:r>
          </w:p>
          <w:p>
            <w:pPr>
              <w:pStyle w:val="Normal"/>
              <w:ind w:left="0" w:right="0" w:firstLine="567"/>
              <w:jc w:val="both"/>
              <w:rPr>
                <w:rFonts w:ascii="PT Astra Serif" w:hAnsi="PT Astra Serif"/>
                <w:sz w:val="26"/>
              </w:rPr>
            </w:pPr>
            <w:r>
              <w:rPr>
                <w:rFonts w:ascii="PT Astra Serif" w:hAnsi="PT Astra Serif"/>
                <w:b/>
                <w:sz w:val="26"/>
              </w:rPr>
              <w:t>Комитет жилищно-коммунального хозяйства города Курска</w:t>
            </w:r>
            <w:r>
              <w:rPr>
                <w:rFonts w:ascii="PT Astra Serif" w:hAnsi="PT Astra Serif"/>
                <w:sz w:val="26"/>
              </w:rPr>
              <w:t xml:space="preserve"> сообщает, что в районе земельного участка сети городской дождевой канализации отсутствуют.</w:t>
            </w:r>
          </w:p>
          <w:p>
            <w:pPr>
              <w:pStyle w:val="Normal"/>
              <w:ind w:left="0" w:right="0" w:firstLine="567"/>
              <w:jc w:val="both"/>
              <w:rPr>
                <w:rFonts w:ascii="PT Astra Serif" w:hAnsi="PT Astra Serif"/>
                <w:sz w:val="26"/>
              </w:rPr>
            </w:pPr>
            <w:r>
              <w:rPr>
                <w:rFonts w:ascii="PT Astra Serif" w:hAnsi="PT Astra Serif"/>
                <w:b/>
                <w:sz w:val="26"/>
              </w:rPr>
              <w:t>Начальный ежегодный размер арендной платы</w:t>
            </w:r>
            <w:r>
              <w:rPr>
                <w:rFonts w:ascii="PT Astra Serif" w:hAnsi="PT Astra Serif"/>
                <w:sz w:val="26"/>
              </w:rPr>
              <w:t xml:space="preserve"> за земельный участок –                      </w:t>
            </w:r>
            <w:r>
              <w:rPr>
                <w:rFonts w:ascii="PT Astra Serif" w:hAnsi="PT Astra Serif"/>
                <w:b/>
                <w:sz w:val="26"/>
              </w:rPr>
              <w:t>856 080,00 руб. (восемьсот пятьдесят шесть тысяч восемьдесят рублей                      00 копеек).</w:t>
            </w:r>
          </w:p>
          <w:p>
            <w:pPr>
              <w:pStyle w:val="Normal"/>
              <w:ind w:left="0" w:right="0" w:firstLine="567"/>
              <w:jc w:val="both"/>
              <w:rPr>
                <w:rFonts w:ascii="PT Astra Serif" w:hAnsi="PT Astra Serif"/>
                <w:sz w:val="26"/>
              </w:rPr>
            </w:pPr>
            <w:r>
              <w:rPr>
                <w:rFonts w:ascii="PT Astra Serif" w:hAnsi="PT Astra Serif"/>
                <w:sz w:val="26"/>
              </w:rPr>
              <w:t xml:space="preserve">Шаг аукциона – в пределах 3 % начального ежегодного размера арендной платы –  </w:t>
            </w:r>
            <w:r>
              <w:rPr>
                <w:rFonts w:ascii="PT Astra Serif" w:hAnsi="PT Astra Serif"/>
                <w:b/>
                <w:sz w:val="26"/>
              </w:rPr>
              <w:t>25 000,00 руб. (двадцать пять тысяч рублей 00 копеек).</w:t>
            </w:r>
          </w:p>
          <w:p>
            <w:pPr>
              <w:pStyle w:val="Normal"/>
              <w:ind w:left="0" w:right="0" w:firstLine="567"/>
              <w:jc w:val="both"/>
              <w:rPr>
                <w:rFonts w:ascii="PT Astra Serif" w:hAnsi="PT Astra Serif"/>
                <w:sz w:val="26"/>
              </w:rPr>
            </w:pPr>
            <w:r>
              <w:rPr>
                <w:rFonts w:ascii="PT Astra Serif" w:hAnsi="PT Astra Serif"/>
                <w:sz w:val="26"/>
              </w:rPr>
              <w:t xml:space="preserve">Задаток в размере 100 % начального ежегодного размера арендной платы –                    </w:t>
            </w:r>
            <w:r>
              <w:rPr>
                <w:rFonts w:ascii="PT Astra Serif" w:hAnsi="PT Astra Serif"/>
                <w:b/>
                <w:sz w:val="26"/>
              </w:rPr>
              <w:t>856 080,00 руб. (восемьсот пятьдесят шесть тысяч восемьдесят рублей                      00 копеек).</w:t>
            </w:r>
          </w:p>
          <w:p>
            <w:pPr>
              <w:pStyle w:val="Normal"/>
              <w:ind w:left="0" w:right="0" w:firstLine="567"/>
              <w:jc w:val="both"/>
              <w:rPr>
                <w:rFonts w:ascii="PT Astra Serif" w:hAnsi="PT Astra Serif"/>
                <w:sz w:val="26"/>
              </w:rPr>
            </w:pPr>
            <w:r>
              <w:rPr>
                <w:rFonts w:ascii="PT Astra Serif" w:hAnsi="PT Astra Serif"/>
                <w:b/>
                <w:sz w:val="26"/>
              </w:rPr>
              <w:t>Срок аренды земельного участка – 32 (тридцать два) месяца.</w:t>
            </w:r>
          </w:p>
          <w:p>
            <w:pPr>
              <w:pStyle w:val="Normal"/>
              <w:ind w:left="0" w:right="0" w:firstLine="567"/>
              <w:jc w:val="both"/>
              <w:rPr>
                <w:rFonts w:ascii="PT Astra Serif" w:hAnsi="PT Astra Serif"/>
                <w:sz w:val="26"/>
              </w:rPr>
            </w:pPr>
            <w:r>
              <w:rPr>
                <w:rFonts w:ascii="PT Astra Serif" w:hAnsi="PT Astra Serif"/>
                <w:b/>
                <w:sz w:val="26"/>
              </w:rPr>
              <w:t>Лот №3.</w:t>
            </w:r>
            <w:r>
              <w:rPr>
                <w:rFonts w:ascii="PT Astra Serif" w:hAnsi="PT Astra Serif"/>
                <w:sz w:val="26"/>
              </w:rPr>
              <w:t xml:space="preserve"> </w:t>
            </w:r>
          </w:p>
          <w:p>
            <w:pPr>
              <w:pStyle w:val="Normal"/>
              <w:ind w:left="0" w:right="0" w:firstLine="567"/>
              <w:jc w:val="both"/>
              <w:rPr>
                <w:rFonts w:ascii="PT Astra Serif" w:hAnsi="PT Astra Serif"/>
                <w:sz w:val="26"/>
              </w:rPr>
            </w:pPr>
            <w:r>
              <w:rPr>
                <w:rFonts w:ascii="PT Astra Serif" w:hAnsi="PT Astra Serif"/>
                <w:sz w:val="26"/>
              </w:rPr>
              <w:t xml:space="preserve">Предметом аукциона является право на заключение договора аренды земельного участка с кадастровым номером 46:29:103032:485, площадью                           750 кв.м.,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из категории земель населенных пунктов, расположенного по адресу: Курская обл., г. Курск, ул. Литовская, для целей, не связанных со строительством, с видом разрешенного использования земельного участка – «для организации бесплатной парковки автотранспорта». </w:t>
            </w:r>
          </w:p>
          <w:p>
            <w:pPr>
              <w:pStyle w:val="Normal"/>
              <w:ind w:left="0" w:right="0" w:firstLine="567"/>
              <w:jc w:val="both"/>
              <w:rPr>
                <w:rFonts w:ascii="PT Astra Serif" w:hAnsi="PT Astra Serif"/>
                <w:sz w:val="26"/>
              </w:rPr>
            </w:pPr>
            <w:r>
              <w:rPr>
                <w:rFonts w:ascii="PT Astra Serif" w:hAnsi="PT Astra Serif"/>
                <w:sz w:val="26"/>
              </w:rPr>
              <w:t>В соответствии с Правилами землепользования и застройки муниципального образования «Город Курск», утвержденными решением Курского городского Собрания от 23.10.2007 №388-3-РС, земельный участок расположен в территориальной зоне П-2 – для производственных предприятий III и IV класса вредности (санитарно-защитная зона от 100 до 300 м).</w:t>
            </w:r>
          </w:p>
          <w:p>
            <w:pPr>
              <w:pStyle w:val="Normal"/>
              <w:ind w:left="0" w:right="0" w:firstLine="567"/>
              <w:jc w:val="both"/>
              <w:rPr>
                <w:rFonts w:ascii="PT Astra Serif" w:hAnsi="PT Astra Serif"/>
                <w:sz w:val="26"/>
              </w:rPr>
            </w:pPr>
            <w:r>
              <w:rPr>
                <w:rFonts w:ascii="PT Astra Serif" w:hAnsi="PT Astra Serif"/>
                <w:sz w:val="26"/>
              </w:rPr>
              <w:t xml:space="preserve">Вид разрешенного использования – «для организации бесплатной парковки автотранспорта» соответствует основному виду разрешенного использования по классификатору видов – «обслуживание автотранспорта», код – 4.9. </w:t>
            </w:r>
          </w:p>
          <w:p>
            <w:pPr>
              <w:pStyle w:val="Normal"/>
              <w:ind w:left="0" w:right="0" w:firstLine="567"/>
              <w:jc w:val="both"/>
              <w:rPr>
                <w:rFonts w:ascii="PT Astra Serif" w:hAnsi="PT Astra Serif"/>
                <w:sz w:val="26"/>
              </w:rPr>
            </w:pPr>
            <w:r>
              <w:rPr>
                <w:rFonts w:ascii="PT Astra Serif" w:hAnsi="PT Astra Serif"/>
                <w:b/>
                <w:sz w:val="26"/>
              </w:rPr>
              <w:t>Условия использования земельного участка:</w:t>
            </w:r>
            <w:r>
              <w:rPr>
                <w:rFonts w:ascii="PT Astra Serif" w:hAnsi="PT Astra Serif"/>
                <w:sz w:val="26"/>
              </w:rPr>
              <w:t xml:space="preserve"> </w:t>
            </w:r>
          </w:p>
          <w:p>
            <w:pPr>
              <w:pStyle w:val="Normal"/>
              <w:ind w:left="0" w:right="0" w:firstLine="567"/>
              <w:jc w:val="both"/>
              <w:rPr>
                <w:rFonts w:ascii="PT Astra Serif" w:hAnsi="PT Astra Serif"/>
                <w:sz w:val="26"/>
              </w:rPr>
            </w:pPr>
            <w:r>
              <w:rPr>
                <w:rFonts w:ascii="PT Astra Serif" w:hAnsi="PT Astra Serif"/>
                <w:b/>
                <w:sz w:val="26"/>
              </w:rPr>
              <w:t xml:space="preserve">1. </w:t>
            </w:r>
            <w:r>
              <w:rPr>
                <w:rFonts w:ascii="PT Astra Serif" w:hAnsi="PT Astra Serif"/>
                <w:sz w:val="26"/>
              </w:rPr>
              <w:t>Использование земельного участка необходимо осуществлять в соответствии с видом разрешенного использования без строительства капитальных зданий, сооружений с учетом соблюдения требований санитарных, градостроительных, пожарных и других действующих норм и правил в соответствии с законодательством РФ, а также обустройства тротуара для прохода пешеходов.</w:t>
            </w:r>
          </w:p>
          <w:p>
            <w:pPr>
              <w:pStyle w:val="Normal"/>
              <w:ind w:left="0" w:right="0" w:firstLine="567"/>
              <w:jc w:val="both"/>
              <w:rPr>
                <w:rFonts w:ascii="PT Astra Serif" w:hAnsi="PT Astra Serif"/>
                <w:sz w:val="26"/>
              </w:rPr>
            </w:pPr>
            <w:r>
              <w:rPr>
                <w:rFonts w:ascii="PT Astra Serif" w:hAnsi="PT Astra Serif"/>
                <w:b/>
                <w:sz w:val="26"/>
              </w:rPr>
              <w:t xml:space="preserve">2. </w:t>
            </w:r>
            <w:r>
              <w:rPr>
                <w:rFonts w:ascii="PT Astra Serif" w:hAnsi="PT Astra Serif"/>
                <w:sz w:val="26"/>
              </w:rPr>
              <w:t>Изменение вида разрешенного использования земельного участка                         не допускается.</w:t>
            </w:r>
          </w:p>
          <w:p>
            <w:pPr>
              <w:pStyle w:val="Normal"/>
              <w:ind w:left="0" w:right="0" w:firstLine="567"/>
              <w:jc w:val="both"/>
              <w:rPr>
                <w:rFonts w:ascii="PT Astra Serif" w:hAnsi="PT Astra Serif"/>
                <w:sz w:val="26"/>
              </w:rPr>
            </w:pPr>
            <w:r>
              <w:rPr>
                <w:rFonts w:ascii="PT Astra Serif" w:hAnsi="PT Astra Serif"/>
                <w:b/>
                <w:sz w:val="26"/>
              </w:rPr>
              <w:t>3</w:t>
            </w:r>
            <w:r>
              <w:rPr>
                <w:rFonts w:ascii="PT Astra Serif" w:hAnsi="PT Astra Serif"/>
                <w:sz w:val="26"/>
              </w:rPr>
              <w:t>. На земельном участке предусмотреть размещение стоянки автотранспорта.</w:t>
            </w:r>
          </w:p>
          <w:p>
            <w:pPr>
              <w:pStyle w:val="Normal"/>
              <w:ind w:left="0" w:right="0" w:firstLine="567"/>
              <w:jc w:val="both"/>
              <w:rPr>
                <w:rFonts w:ascii="PT Astra Serif" w:hAnsi="PT Astra Serif"/>
                <w:sz w:val="26"/>
              </w:rPr>
            </w:pPr>
            <w:r>
              <w:rPr>
                <w:rFonts w:ascii="PT Astra Serif" w:hAnsi="PT Astra Serif"/>
                <w:b/>
                <w:sz w:val="26"/>
              </w:rPr>
              <w:t>4.</w:t>
            </w:r>
            <w:r>
              <w:rPr>
                <w:rFonts w:ascii="PT Astra Serif" w:hAnsi="PT Astra Serif"/>
                <w:sz w:val="26"/>
              </w:rPr>
              <w:t xml:space="preserve"> Взимание платы за использование земельного участка под размещение стоянки автотранспорта не допускается.</w:t>
            </w:r>
          </w:p>
          <w:p>
            <w:pPr>
              <w:pStyle w:val="Normal"/>
              <w:ind w:left="0" w:right="0" w:firstLine="567"/>
              <w:jc w:val="both"/>
              <w:rPr>
                <w:rFonts w:ascii="PT Astra Serif" w:hAnsi="PT Astra Serif"/>
                <w:sz w:val="26"/>
              </w:rPr>
            </w:pPr>
            <w:r>
              <w:rPr>
                <w:rFonts w:ascii="PT Astra Serif" w:hAnsi="PT Astra Serif"/>
                <w:b/>
                <w:sz w:val="26"/>
              </w:rPr>
              <w:t xml:space="preserve">5. </w:t>
            </w:r>
            <w:r>
              <w:rPr>
                <w:rFonts w:ascii="PT Astra Serif" w:hAnsi="PT Astra Serif"/>
                <w:sz w:val="26"/>
              </w:rPr>
              <w:t>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w:t>
            </w:r>
          </w:p>
          <w:p>
            <w:pPr>
              <w:pStyle w:val="Normal"/>
              <w:ind w:left="0" w:right="0" w:firstLine="567"/>
              <w:jc w:val="both"/>
              <w:rPr>
                <w:rFonts w:ascii="PT Astra Serif" w:hAnsi="PT Astra Serif"/>
                <w:sz w:val="26"/>
              </w:rPr>
            </w:pPr>
            <w:r>
              <w:rPr>
                <w:rFonts w:ascii="PT Astra Serif" w:hAnsi="PT Astra Serif"/>
                <w:b/>
                <w:sz w:val="26"/>
              </w:rPr>
              <w:t>6.</w:t>
            </w:r>
            <w:r>
              <w:rPr>
                <w:rFonts w:ascii="PT Astra Serif" w:hAnsi="PT Astra Serif"/>
                <w:sz w:val="26"/>
              </w:rPr>
              <w:t xml:space="preserve"> Передача прав и обязанностей по договору аренды земельного участка третьему лицу не допускается.</w:t>
            </w:r>
          </w:p>
          <w:p>
            <w:pPr>
              <w:pStyle w:val="Normal"/>
              <w:ind w:left="0" w:right="0" w:firstLine="567"/>
              <w:jc w:val="both"/>
              <w:rPr>
                <w:rFonts w:ascii="PT Astra Serif" w:hAnsi="PT Astra Serif"/>
                <w:sz w:val="26"/>
              </w:rPr>
            </w:pPr>
            <w:r>
              <w:rPr>
                <w:rFonts w:ascii="PT Astra Serif" w:hAnsi="PT Astra Serif"/>
                <w:b/>
                <w:sz w:val="26"/>
              </w:rPr>
              <w:t>7.</w:t>
            </w:r>
            <w:r>
              <w:rPr>
                <w:rFonts w:ascii="PT Astra Serif" w:hAnsi="PT Astra Serif"/>
                <w:sz w:val="26"/>
              </w:rPr>
              <w:t xml:space="preserve"> Передача арендованного земельного участка в субаренду не допускается.</w:t>
            </w:r>
          </w:p>
          <w:p>
            <w:pPr>
              <w:pStyle w:val="Normal"/>
              <w:ind w:left="0" w:right="0" w:firstLine="567"/>
              <w:jc w:val="both"/>
              <w:rPr>
                <w:rFonts w:ascii="PT Astra Serif" w:hAnsi="PT Astra Serif"/>
                <w:sz w:val="26"/>
              </w:rPr>
            </w:pPr>
            <w:r>
              <w:rPr>
                <w:rFonts w:ascii="PT Astra Serif" w:hAnsi="PT Astra Serif"/>
                <w:b/>
                <w:sz w:val="26"/>
              </w:rPr>
              <w:t xml:space="preserve">Существующие ограничения и обременения земельного участка: </w:t>
            </w:r>
          </w:p>
          <w:p>
            <w:pPr>
              <w:pStyle w:val="Normal"/>
              <w:numPr>
                <w:ilvl w:val="0"/>
                <w:numId w:val="3"/>
              </w:numPr>
              <w:ind w:left="0" w:right="0" w:firstLine="567"/>
              <w:jc w:val="both"/>
              <w:rPr>
                <w:rFonts w:ascii="PT Astra Serif" w:hAnsi="PT Astra Serif"/>
                <w:sz w:val="26"/>
              </w:rPr>
            </w:pPr>
            <w:r>
              <w:rPr>
                <w:rFonts w:ascii="PT Astra Serif" w:hAnsi="PT Astra Serif"/>
                <w:sz w:val="26"/>
              </w:rPr>
              <w:t>В пределах земельного участка расположен объект недвижимости с кадастровым номером 46:29:000000:4742 – сети ливневой канализации.</w:t>
            </w:r>
          </w:p>
          <w:p>
            <w:pPr>
              <w:pStyle w:val="Normal"/>
              <w:ind w:left="0" w:right="0" w:firstLine="567"/>
              <w:jc w:val="both"/>
              <w:rPr>
                <w:rFonts w:ascii="PT Astra Serif" w:hAnsi="PT Astra Serif"/>
                <w:sz w:val="26"/>
              </w:rPr>
            </w:pPr>
            <w:r>
              <w:rPr>
                <w:rFonts w:ascii="PT Astra Serif" w:hAnsi="PT Astra Serif"/>
                <w:b/>
                <w:sz w:val="26"/>
              </w:rPr>
              <w:t>Начальный ежегодный размер арендной платы</w:t>
            </w:r>
            <w:r>
              <w:rPr>
                <w:rFonts w:ascii="PT Astra Serif" w:hAnsi="PT Astra Serif"/>
                <w:sz w:val="26"/>
              </w:rPr>
              <w:t xml:space="preserve"> за земельный участок –                      </w:t>
            </w:r>
            <w:r>
              <w:rPr>
                <w:rFonts w:ascii="PT Astra Serif" w:hAnsi="PT Astra Serif"/>
                <w:b/>
                <w:sz w:val="26"/>
              </w:rPr>
              <w:t>94 500,00 руб. (девяносто четыре тысячи пятьсот рублей 00 копеек).</w:t>
            </w:r>
          </w:p>
          <w:p>
            <w:pPr>
              <w:pStyle w:val="Normal"/>
              <w:ind w:left="0" w:right="0" w:firstLine="567"/>
              <w:jc w:val="both"/>
              <w:rPr>
                <w:rFonts w:ascii="PT Astra Serif" w:hAnsi="PT Astra Serif"/>
                <w:sz w:val="26"/>
              </w:rPr>
            </w:pPr>
            <w:r>
              <w:rPr>
                <w:rFonts w:ascii="PT Astra Serif" w:hAnsi="PT Astra Serif"/>
                <w:sz w:val="26"/>
              </w:rPr>
              <w:t xml:space="preserve">Шаг аукциона – в пределах 3 % начального ежегодного размера арендной платы –  </w:t>
            </w:r>
            <w:r>
              <w:rPr>
                <w:rFonts w:ascii="PT Astra Serif" w:hAnsi="PT Astra Serif"/>
                <w:b/>
                <w:sz w:val="26"/>
              </w:rPr>
              <w:t>2 000,00 руб. (две тысячи рублей 00 копеек).</w:t>
            </w:r>
          </w:p>
          <w:p>
            <w:pPr>
              <w:pStyle w:val="Normal"/>
              <w:ind w:left="0" w:right="0" w:firstLine="567"/>
              <w:jc w:val="both"/>
              <w:rPr>
                <w:rFonts w:ascii="PT Astra Serif" w:hAnsi="PT Astra Serif"/>
                <w:sz w:val="26"/>
              </w:rPr>
            </w:pPr>
            <w:r>
              <w:rPr>
                <w:rFonts w:ascii="PT Astra Serif" w:hAnsi="PT Astra Serif"/>
                <w:sz w:val="26"/>
              </w:rPr>
              <w:t xml:space="preserve">Задаток в размере 100 % начального ежегодного размера арендной платы –                    </w:t>
            </w:r>
            <w:r>
              <w:rPr>
                <w:rFonts w:ascii="PT Astra Serif" w:hAnsi="PT Astra Serif"/>
                <w:b/>
                <w:sz w:val="26"/>
              </w:rPr>
              <w:t>94 500,00 руб. (девяносто четыре тысячи пятьсот рублей 00 копеек).</w:t>
            </w:r>
          </w:p>
          <w:p>
            <w:pPr>
              <w:pStyle w:val="Normal"/>
              <w:ind w:left="0" w:right="0" w:firstLine="567"/>
              <w:jc w:val="both"/>
              <w:rPr>
                <w:rFonts w:ascii="PT Astra Serif" w:hAnsi="PT Astra Serif"/>
                <w:sz w:val="26"/>
              </w:rPr>
            </w:pPr>
            <w:r>
              <w:rPr>
                <w:rFonts w:ascii="PT Astra Serif" w:hAnsi="PT Astra Serif"/>
                <w:sz w:val="26"/>
              </w:rPr>
              <w:t>Срок аренды земельного участка</w:t>
            </w:r>
            <w:r>
              <w:rPr>
                <w:rFonts w:ascii="PT Astra Serif" w:hAnsi="PT Astra Serif"/>
                <w:b/>
                <w:sz w:val="26"/>
              </w:rPr>
              <w:t xml:space="preserve"> </w:t>
            </w:r>
            <w:r>
              <w:rPr>
                <w:rFonts w:ascii="PT Astra Serif" w:hAnsi="PT Astra Serif"/>
                <w:sz w:val="26"/>
              </w:rPr>
              <w:t>– 5 (пять) лет.</w:t>
            </w:r>
          </w:p>
          <w:p>
            <w:pPr>
              <w:pStyle w:val="Normal"/>
              <w:ind w:left="0" w:right="0" w:firstLine="567"/>
              <w:jc w:val="both"/>
              <w:rPr>
                <w:rFonts w:ascii="PT Astra Serif" w:hAnsi="PT Astra Serif"/>
                <w:sz w:val="26"/>
              </w:rPr>
            </w:pPr>
            <w:r>
              <w:rPr>
                <w:rFonts w:ascii="PT Astra Serif" w:hAnsi="PT Astra Serif"/>
                <w:b/>
                <w:sz w:val="26"/>
              </w:rPr>
              <w:t>Лот №4.</w:t>
            </w:r>
            <w:r>
              <w:rPr>
                <w:rFonts w:ascii="PT Astra Serif" w:hAnsi="PT Astra Serif"/>
                <w:sz w:val="26"/>
              </w:rPr>
              <w:t xml:space="preserve"> </w:t>
            </w:r>
          </w:p>
          <w:p>
            <w:pPr>
              <w:pStyle w:val="Normal"/>
              <w:ind w:left="0" w:right="0" w:firstLine="567"/>
              <w:jc w:val="both"/>
              <w:rPr>
                <w:rFonts w:ascii="PT Astra Serif" w:hAnsi="PT Astra Serif"/>
                <w:sz w:val="26"/>
              </w:rPr>
            </w:pPr>
            <w:r>
              <w:rPr>
                <w:rFonts w:ascii="PT Astra Serif" w:hAnsi="PT Astra Serif"/>
                <w:sz w:val="26"/>
              </w:rPr>
              <w:t xml:space="preserve">Предметом аукциона является право на заключение договора аренды земельного участка с кадастровым номером 46:29:103032:401, площадью                           600 кв.м., 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из категории земель населенных пунктов, расположенного по адресу: Курская обл., г. Курск, ул. Литовская, для целей, не связанных со строительством, с видом разрешенного использования земельного участка – «для организации парковки служебного автотранспорта». </w:t>
            </w:r>
          </w:p>
          <w:p>
            <w:pPr>
              <w:pStyle w:val="Normal"/>
              <w:ind w:left="0" w:right="0" w:firstLine="567"/>
              <w:jc w:val="both"/>
              <w:rPr>
                <w:rFonts w:ascii="PT Astra Serif" w:hAnsi="PT Astra Serif"/>
                <w:sz w:val="26"/>
              </w:rPr>
            </w:pPr>
            <w:r>
              <w:rPr>
                <w:rFonts w:ascii="PT Astra Serif" w:hAnsi="PT Astra Serif"/>
                <w:sz w:val="26"/>
              </w:rPr>
              <w:t>В соответствии с Правилами землепользования и застройки муниципального образования «Город Курск», утвержденными решением Курского городского Собрания от 23.10.2007 №388-3-РС, земельный участок расположен в территориальной зоне П-2 – для производственных предприятий III и IV класса вредности (санитарно-защитная зона от 100 до 300 м).</w:t>
            </w:r>
          </w:p>
          <w:p>
            <w:pPr>
              <w:pStyle w:val="Normal"/>
              <w:ind w:left="0" w:right="0" w:firstLine="567"/>
              <w:jc w:val="both"/>
              <w:rPr>
                <w:rFonts w:ascii="PT Astra Serif" w:hAnsi="PT Astra Serif"/>
                <w:sz w:val="26"/>
              </w:rPr>
            </w:pPr>
            <w:r>
              <w:rPr>
                <w:rFonts w:ascii="PT Astra Serif" w:hAnsi="PT Astra Serif"/>
                <w:sz w:val="26"/>
              </w:rPr>
              <w:t xml:space="preserve">Вид разрешенного использования – «для организации парковки служебного автотранспорта» соответствует основному виду разрешенного использования по классификатору видов – «обслуживание автотранспорта», код – 4.9. </w:t>
            </w:r>
          </w:p>
          <w:p>
            <w:pPr>
              <w:pStyle w:val="Normal"/>
              <w:ind w:left="0" w:right="0" w:firstLine="567"/>
              <w:jc w:val="both"/>
              <w:rPr>
                <w:rFonts w:ascii="PT Astra Serif" w:hAnsi="PT Astra Serif"/>
                <w:sz w:val="26"/>
              </w:rPr>
            </w:pPr>
            <w:r>
              <w:rPr>
                <w:rFonts w:ascii="PT Astra Serif" w:hAnsi="PT Astra Serif"/>
                <w:b/>
                <w:sz w:val="26"/>
              </w:rPr>
              <w:t>Условия использования земельного участка:</w:t>
            </w:r>
            <w:r>
              <w:rPr>
                <w:rFonts w:ascii="PT Astra Serif" w:hAnsi="PT Astra Serif"/>
                <w:sz w:val="26"/>
              </w:rPr>
              <w:t xml:space="preserve"> </w:t>
            </w:r>
          </w:p>
          <w:p>
            <w:pPr>
              <w:pStyle w:val="Normal"/>
              <w:ind w:left="0" w:right="0" w:firstLine="567"/>
              <w:jc w:val="both"/>
              <w:rPr>
                <w:rFonts w:ascii="PT Astra Serif" w:hAnsi="PT Astra Serif"/>
                <w:sz w:val="26"/>
              </w:rPr>
            </w:pPr>
            <w:r>
              <w:rPr>
                <w:rFonts w:ascii="PT Astra Serif" w:hAnsi="PT Astra Serif"/>
                <w:b/>
                <w:sz w:val="26"/>
              </w:rPr>
              <w:t xml:space="preserve">1. </w:t>
            </w:r>
            <w:r>
              <w:rPr>
                <w:rFonts w:ascii="PT Astra Serif" w:hAnsi="PT Astra Serif"/>
                <w:sz w:val="26"/>
              </w:rPr>
              <w:t>Использование земельного участка необходимо осуществлять в соответствии с видом разрешенного использования без строительства капитальных зданий, сооружений с учетом соблюдения требований санитарных, градостроительных, пожарных и других действующих норм и правил в соответствии с законодательством РФ, а также обустройства тротуара для прохода пешеходов.</w:t>
            </w:r>
          </w:p>
          <w:p>
            <w:pPr>
              <w:pStyle w:val="Normal"/>
              <w:ind w:left="0" w:right="0" w:firstLine="567"/>
              <w:jc w:val="both"/>
              <w:rPr>
                <w:rFonts w:ascii="PT Astra Serif" w:hAnsi="PT Astra Serif"/>
                <w:sz w:val="26"/>
              </w:rPr>
            </w:pPr>
            <w:r>
              <w:rPr>
                <w:rFonts w:ascii="PT Astra Serif" w:hAnsi="PT Astra Serif"/>
                <w:b/>
                <w:sz w:val="26"/>
              </w:rPr>
              <w:t xml:space="preserve">2. </w:t>
            </w:r>
            <w:r>
              <w:rPr>
                <w:rFonts w:ascii="PT Astra Serif" w:hAnsi="PT Astra Serif"/>
                <w:sz w:val="26"/>
              </w:rPr>
              <w:t>Изменение вида разрешенного использования земельного участка                         не допускается.</w:t>
            </w:r>
          </w:p>
          <w:p>
            <w:pPr>
              <w:pStyle w:val="Normal"/>
              <w:ind w:left="0" w:right="0" w:firstLine="567"/>
              <w:jc w:val="both"/>
              <w:rPr>
                <w:rFonts w:ascii="PT Astra Serif" w:hAnsi="PT Astra Serif"/>
                <w:sz w:val="26"/>
              </w:rPr>
            </w:pPr>
            <w:r>
              <w:rPr>
                <w:rFonts w:ascii="PT Astra Serif" w:hAnsi="PT Astra Serif"/>
                <w:b/>
                <w:sz w:val="26"/>
              </w:rPr>
              <w:t>3</w:t>
            </w:r>
            <w:r>
              <w:rPr>
                <w:rFonts w:ascii="PT Astra Serif" w:hAnsi="PT Astra Serif"/>
                <w:sz w:val="26"/>
              </w:rPr>
              <w:t>. На земельном участке предусмотреть размещение стоянки автотранспорта.</w:t>
            </w:r>
          </w:p>
          <w:p>
            <w:pPr>
              <w:pStyle w:val="Normal"/>
              <w:ind w:left="0" w:right="0" w:firstLine="567"/>
              <w:jc w:val="both"/>
              <w:rPr>
                <w:rFonts w:ascii="PT Astra Serif" w:hAnsi="PT Astra Serif"/>
                <w:sz w:val="26"/>
              </w:rPr>
            </w:pPr>
            <w:r>
              <w:rPr>
                <w:rFonts w:ascii="PT Astra Serif" w:hAnsi="PT Astra Serif"/>
                <w:b/>
                <w:sz w:val="26"/>
              </w:rPr>
              <w:t>4.</w:t>
            </w:r>
            <w:r>
              <w:rPr>
                <w:rFonts w:ascii="PT Astra Serif" w:hAnsi="PT Astra Serif"/>
                <w:sz w:val="26"/>
              </w:rPr>
              <w:t xml:space="preserve"> Взимание платы за использование земельного участка под размещение стоянки автотранспорта не допускается.</w:t>
            </w:r>
          </w:p>
          <w:p>
            <w:pPr>
              <w:pStyle w:val="Normal"/>
              <w:ind w:left="0" w:right="0" w:firstLine="567"/>
              <w:jc w:val="both"/>
              <w:rPr>
                <w:rFonts w:ascii="PT Astra Serif" w:hAnsi="PT Astra Serif"/>
                <w:sz w:val="26"/>
              </w:rPr>
            </w:pPr>
            <w:r>
              <w:rPr>
                <w:rFonts w:ascii="PT Astra Serif" w:hAnsi="PT Astra Serif"/>
                <w:b/>
                <w:sz w:val="26"/>
              </w:rPr>
              <w:t xml:space="preserve">5. </w:t>
            </w:r>
            <w:r>
              <w:rPr>
                <w:rFonts w:ascii="PT Astra Serif" w:hAnsi="PT Astra Serif"/>
                <w:sz w:val="26"/>
              </w:rPr>
              <w:t>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w:t>
            </w:r>
          </w:p>
          <w:p>
            <w:pPr>
              <w:pStyle w:val="Normal"/>
              <w:ind w:left="0" w:right="0" w:firstLine="567"/>
              <w:jc w:val="both"/>
              <w:rPr>
                <w:rFonts w:ascii="PT Astra Serif" w:hAnsi="PT Astra Serif"/>
                <w:sz w:val="26"/>
              </w:rPr>
            </w:pPr>
            <w:r>
              <w:rPr>
                <w:rFonts w:ascii="PT Astra Serif" w:hAnsi="PT Astra Serif"/>
                <w:b/>
                <w:sz w:val="26"/>
              </w:rPr>
              <w:t>6.</w:t>
            </w:r>
            <w:r>
              <w:rPr>
                <w:rFonts w:ascii="PT Astra Serif" w:hAnsi="PT Astra Serif"/>
                <w:sz w:val="26"/>
              </w:rPr>
              <w:t xml:space="preserve"> Передача прав и обязанностей по договору аренды земельного участка третьему лицу не допускается.</w:t>
            </w:r>
          </w:p>
          <w:p>
            <w:pPr>
              <w:pStyle w:val="Normal"/>
              <w:ind w:left="0" w:right="0" w:firstLine="567"/>
              <w:jc w:val="both"/>
              <w:rPr>
                <w:rFonts w:ascii="PT Astra Serif" w:hAnsi="PT Astra Serif"/>
                <w:sz w:val="26"/>
              </w:rPr>
            </w:pPr>
            <w:r>
              <w:rPr>
                <w:rFonts w:ascii="PT Astra Serif" w:hAnsi="PT Astra Serif"/>
                <w:b/>
                <w:sz w:val="26"/>
              </w:rPr>
              <w:t>7.</w:t>
            </w:r>
            <w:r>
              <w:rPr>
                <w:rFonts w:ascii="PT Astra Serif" w:hAnsi="PT Astra Serif"/>
                <w:sz w:val="26"/>
              </w:rPr>
              <w:t xml:space="preserve"> Передача арендованного земельного участка в субаренду не допускается.</w:t>
            </w:r>
          </w:p>
          <w:p>
            <w:pPr>
              <w:pStyle w:val="Normal"/>
              <w:ind w:left="0" w:right="0" w:firstLine="567"/>
              <w:jc w:val="both"/>
              <w:rPr>
                <w:rFonts w:ascii="PT Astra Serif" w:hAnsi="PT Astra Serif"/>
                <w:sz w:val="26"/>
              </w:rPr>
            </w:pPr>
            <w:r>
              <w:rPr>
                <w:rFonts w:ascii="PT Astra Serif" w:hAnsi="PT Astra Serif"/>
                <w:b/>
                <w:sz w:val="26"/>
              </w:rPr>
              <w:t xml:space="preserve">Существующие ограничения и обременения земельного участка: </w:t>
            </w:r>
          </w:p>
          <w:p>
            <w:pPr>
              <w:pStyle w:val="Normal"/>
              <w:numPr>
                <w:ilvl w:val="0"/>
                <w:numId w:val="4"/>
              </w:numPr>
              <w:ind w:left="15" w:right="0" w:firstLine="552"/>
              <w:jc w:val="both"/>
              <w:rPr>
                <w:rFonts w:ascii="PT Astra Serif" w:hAnsi="PT Astra Serif"/>
                <w:sz w:val="26"/>
              </w:rPr>
            </w:pPr>
            <w:r>
              <w:rPr>
                <w:rFonts w:ascii="PT Astra Serif" w:hAnsi="PT Astra Serif"/>
                <w:sz w:val="26"/>
              </w:rPr>
              <w:t>В пределах земельного участка расположен объект недвижимости с кадастровым номером 46:29:000000:4742 – сети ливневой канализации.</w:t>
            </w:r>
          </w:p>
          <w:p>
            <w:pPr>
              <w:pStyle w:val="Normal"/>
              <w:ind w:left="0" w:right="0" w:firstLine="567"/>
              <w:jc w:val="both"/>
              <w:rPr>
                <w:rFonts w:ascii="PT Astra Serif" w:hAnsi="PT Astra Serif"/>
                <w:sz w:val="26"/>
              </w:rPr>
            </w:pPr>
            <w:r>
              <w:rPr>
                <w:rFonts w:ascii="PT Astra Serif" w:hAnsi="PT Astra Serif"/>
                <w:b/>
                <w:sz w:val="26"/>
              </w:rPr>
              <w:t>Начальный ежегодный размер арендной платы</w:t>
            </w:r>
            <w:r>
              <w:rPr>
                <w:rFonts w:ascii="PT Astra Serif" w:hAnsi="PT Astra Serif"/>
                <w:sz w:val="26"/>
              </w:rPr>
              <w:t xml:space="preserve"> за земельный участок –                      </w:t>
            </w:r>
            <w:r>
              <w:rPr>
                <w:rFonts w:ascii="PT Astra Serif" w:hAnsi="PT Astra Serif"/>
                <w:b/>
                <w:sz w:val="26"/>
              </w:rPr>
              <w:t>75 600,00 руб. (семьдесят пять тысяч шестьсот рублей 00 копеек).</w:t>
            </w:r>
          </w:p>
          <w:p>
            <w:pPr>
              <w:pStyle w:val="Normal"/>
              <w:ind w:left="0" w:right="0" w:firstLine="567"/>
              <w:jc w:val="both"/>
              <w:rPr>
                <w:rFonts w:ascii="PT Astra Serif" w:hAnsi="PT Astra Serif"/>
                <w:sz w:val="26"/>
              </w:rPr>
            </w:pPr>
            <w:r>
              <w:rPr>
                <w:rFonts w:ascii="PT Astra Serif" w:hAnsi="PT Astra Serif"/>
                <w:sz w:val="26"/>
              </w:rPr>
              <w:t xml:space="preserve">Шаг аукциона – в пределах 3 % начального ежегодного размера арендной платы –  </w:t>
            </w:r>
            <w:r>
              <w:rPr>
                <w:rFonts w:ascii="PT Astra Serif" w:hAnsi="PT Astra Serif"/>
                <w:b/>
                <w:sz w:val="26"/>
              </w:rPr>
              <w:t>2 000,00 руб. (две тысячи рублей 00 копеек).</w:t>
            </w:r>
          </w:p>
          <w:p>
            <w:pPr>
              <w:pStyle w:val="Normal"/>
              <w:ind w:left="0" w:right="0" w:firstLine="567"/>
              <w:jc w:val="both"/>
              <w:rPr>
                <w:rFonts w:ascii="PT Astra Serif" w:hAnsi="PT Astra Serif"/>
                <w:sz w:val="26"/>
              </w:rPr>
            </w:pPr>
            <w:r>
              <w:rPr>
                <w:rFonts w:ascii="PT Astra Serif" w:hAnsi="PT Astra Serif"/>
                <w:sz w:val="26"/>
              </w:rPr>
              <w:t xml:space="preserve">Задаток в размере 100 % начального ежегодного размера арендной платы –                    </w:t>
            </w:r>
            <w:r>
              <w:rPr>
                <w:rFonts w:ascii="PT Astra Serif" w:hAnsi="PT Astra Serif"/>
                <w:b/>
                <w:sz w:val="26"/>
              </w:rPr>
              <w:t>75 600,00 руб. (семьдесят пять тысяч шестьсот рублей 00 копеек).</w:t>
            </w:r>
          </w:p>
          <w:p>
            <w:pPr>
              <w:pStyle w:val="Normal"/>
              <w:ind w:left="0" w:right="0" w:firstLine="567"/>
              <w:jc w:val="both"/>
              <w:rPr>
                <w:rFonts w:ascii="PT Astra Serif" w:hAnsi="PT Astra Serif"/>
                <w:sz w:val="26"/>
              </w:rPr>
            </w:pPr>
            <w:r>
              <w:rPr>
                <w:rFonts w:ascii="PT Astra Serif" w:hAnsi="PT Astra Serif"/>
                <w:sz w:val="26"/>
              </w:rPr>
              <w:t>Срок аренды земельного участка</w:t>
            </w:r>
            <w:r>
              <w:rPr>
                <w:rFonts w:ascii="PT Astra Serif" w:hAnsi="PT Astra Serif"/>
                <w:b/>
                <w:sz w:val="26"/>
              </w:rPr>
              <w:t xml:space="preserve"> </w:t>
            </w:r>
            <w:r>
              <w:rPr>
                <w:rFonts w:ascii="PT Astra Serif" w:hAnsi="PT Astra Serif"/>
                <w:sz w:val="26"/>
              </w:rPr>
              <w:t>– 5 (пять) лет.</w:t>
            </w:r>
          </w:p>
          <w:p>
            <w:pPr>
              <w:pStyle w:val="Normal"/>
              <w:ind w:left="0" w:right="0" w:firstLine="567"/>
              <w:rPr>
                <w:rFonts w:ascii="PT Astra Serif" w:hAnsi="PT Astra Serif"/>
                <w:sz w:val="26"/>
              </w:rPr>
            </w:pPr>
            <w:r>
              <w:rPr>
                <w:rFonts w:ascii="PT Astra Serif" w:hAnsi="PT Astra Serif"/>
                <w:b/>
                <w:sz w:val="26"/>
              </w:rPr>
              <w:t xml:space="preserve">Порядок внесения задатка: </w:t>
            </w:r>
          </w:p>
          <w:p>
            <w:pPr>
              <w:pStyle w:val="Normal"/>
              <w:ind w:left="0" w:right="0" w:firstLine="559"/>
              <w:jc w:val="both"/>
              <w:rPr>
                <w:rFonts w:ascii="PT Astra Serif" w:hAnsi="PT Astra Serif"/>
                <w:sz w:val="26"/>
              </w:rPr>
            </w:pPr>
            <w:r>
              <w:rPr>
                <w:rFonts w:ascii="PT Astra Serif" w:hAnsi="PT Astra Serif"/>
                <w:sz w:val="26"/>
              </w:rPr>
              <w:t xml:space="preserve">Задаток вносится до даты подачи заявки путем безналичного перечисления на расчетный счет организатора аукциона. </w:t>
            </w:r>
          </w:p>
          <w:p>
            <w:pPr>
              <w:pStyle w:val="Normal"/>
              <w:ind w:left="0" w:right="0" w:firstLine="559"/>
              <w:jc w:val="both"/>
              <w:rPr>
                <w:rFonts w:ascii="PT Astra Serif" w:hAnsi="PT Astra Serif"/>
                <w:sz w:val="26"/>
              </w:rPr>
            </w:pPr>
            <w:r>
              <w:rPr>
                <w:rFonts w:ascii="PT Astra Serif" w:hAnsi="PT Astra Serif"/>
                <w:sz w:val="26"/>
              </w:rPr>
              <w:t xml:space="preserve">Реквизиты счета для перечисления задатка – </w:t>
            </w:r>
          </w:p>
          <w:p>
            <w:pPr>
              <w:pStyle w:val="Normal"/>
              <w:jc w:val="both"/>
              <w:rPr>
                <w:rFonts w:ascii="PT Astra Serif" w:hAnsi="PT Astra Serif"/>
                <w:sz w:val="26"/>
              </w:rPr>
            </w:pPr>
            <w:r>
              <w:rPr>
                <w:rFonts w:ascii="PT Astra Serif" w:hAnsi="PT Astra Serif"/>
                <w:sz w:val="26"/>
              </w:rPr>
              <w:t>р/с № 40302810638072000001</w:t>
            </w:r>
          </w:p>
          <w:p>
            <w:pPr>
              <w:pStyle w:val="Normal"/>
              <w:jc w:val="both"/>
              <w:rPr>
                <w:rFonts w:ascii="PT Astra Serif" w:hAnsi="PT Astra Serif"/>
                <w:sz w:val="26"/>
              </w:rPr>
            </w:pPr>
            <w:r>
              <w:rPr>
                <w:rFonts w:ascii="PT Astra Serif" w:hAnsi="PT Astra Serif"/>
                <w:sz w:val="26"/>
              </w:rPr>
              <w:t>л/с 05442036630</w:t>
            </w:r>
          </w:p>
          <w:p>
            <w:pPr>
              <w:pStyle w:val="Normal"/>
              <w:jc w:val="both"/>
              <w:rPr>
                <w:rFonts w:ascii="PT Astra Serif" w:hAnsi="PT Astra Serif"/>
                <w:sz w:val="26"/>
              </w:rPr>
            </w:pPr>
            <w:r>
              <w:rPr>
                <w:rFonts w:ascii="PT Astra Serif" w:hAnsi="PT Astra Serif"/>
                <w:sz w:val="26"/>
              </w:rPr>
              <w:t>ИНН 4629011325</w:t>
            </w:r>
          </w:p>
          <w:p>
            <w:pPr>
              <w:pStyle w:val="Normal"/>
              <w:jc w:val="both"/>
              <w:rPr>
                <w:rFonts w:ascii="PT Astra Serif" w:hAnsi="PT Astra Serif"/>
                <w:sz w:val="26"/>
              </w:rPr>
            </w:pPr>
            <w:r>
              <w:rPr>
                <w:rFonts w:ascii="PT Astra Serif" w:hAnsi="PT Astra Serif"/>
                <w:sz w:val="26"/>
              </w:rPr>
              <w:t>КПП 463201001</w:t>
            </w:r>
          </w:p>
          <w:p>
            <w:pPr>
              <w:pStyle w:val="Normal"/>
              <w:jc w:val="both"/>
              <w:rPr>
                <w:rFonts w:ascii="PT Astra Serif" w:hAnsi="PT Astra Serif"/>
                <w:sz w:val="26"/>
              </w:rPr>
            </w:pPr>
            <w:r>
              <w:rPr>
                <w:rFonts w:ascii="PT Astra Serif" w:hAnsi="PT Astra Serif"/>
                <w:sz w:val="26"/>
              </w:rPr>
              <w:t>БИК 043807001</w:t>
            </w:r>
          </w:p>
          <w:p>
            <w:pPr>
              <w:pStyle w:val="Normal"/>
              <w:jc w:val="both"/>
              <w:rPr>
                <w:rFonts w:ascii="PT Astra Serif" w:hAnsi="PT Astra Serif"/>
                <w:sz w:val="26"/>
              </w:rPr>
            </w:pPr>
            <w:r>
              <w:rPr>
                <w:rFonts w:ascii="PT Astra Serif" w:hAnsi="PT Astra Serif"/>
                <w:sz w:val="26"/>
              </w:rPr>
              <w:t>«Отделение г. Курска» г. Курск.</w:t>
            </w:r>
          </w:p>
          <w:p>
            <w:pPr>
              <w:pStyle w:val="Normal"/>
              <w:ind w:left="0" w:right="0" w:firstLine="567"/>
              <w:jc w:val="both"/>
              <w:rPr>
                <w:rFonts w:ascii="PT Astra Serif" w:hAnsi="PT Astra Serif"/>
                <w:sz w:val="26"/>
              </w:rPr>
            </w:pPr>
            <w:r>
              <w:rPr>
                <w:rFonts w:ascii="PT Astra Serif" w:hAnsi="PT Astra Serif"/>
                <w:sz w:val="26"/>
              </w:rPr>
              <w:t xml:space="preserve">Наименование получателя: Управление Федерального Казначейства по Курской области (комитет по управлению имуществом Курской области), назначение платежа – «Оплата за участие в аукционе на право заключения договора аренды земельного участка (задаток), назначенного на 25 марта 2020 г. по                 Лоту №  __». </w:t>
            </w:r>
          </w:p>
          <w:p>
            <w:pPr>
              <w:pStyle w:val="Normal"/>
              <w:tabs>
                <w:tab w:val="left" w:pos="360" w:leader="none"/>
              </w:tabs>
              <w:ind w:left="0" w:right="0" w:firstLine="567"/>
              <w:jc w:val="both"/>
              <w:rPr>
                <w:rFonts w:ascii="PT Astra Serif" w:hAnsi="PT Astra Serif"/>
                <w:sz w:val="26"/>
              </w:rPr>
            </w:pPr>
            <w:r>
              <w:rPr>
                <w:rFonts w:ascii="PT Astra Serif" w:hAnsi="PT Astra Serif"/>
                <w:sz w:val="26"/>
              </w:rPr>
              <w:t>Документом, подтверждающим поступление задатка на счет организатора аукциона является выписка со счета организатора аукциона.</w:t>
            </w:r>
          </w:p>
          <w:p>
            <w:pPr>
              <w:pStyle w:val="Normal"/>
              <w:tabs>
                <w:tab w:val="left" w:pos="360" w:leader="none"/>
              </w:tabs>
              <w:ind w:left="0" w:right="0" w:firstLine="567"/>
              <w:jc w:val="both"/>
              <w:rPr>
                <w:rFonts w:ascii="PT Astra Serif" w:hAnsi="PT Astra Serif"/>
                <w:sz w:val="26"/>
              </w:rPr>
            </w:pPr>
            <w:r>
              <w:rPr>
                <w:rFonts w:ascii="PT Astra Serif" w:hAnsi="PT Astra Serif"/>
                <w:sz w:val="26"/>
              </w:rPr>
              <w:t>Исполнение обязанности по внесению задатка третьими лицами не допускается.</w:t>
            </w:r>
          </w:p>
          <w:p>
            <w:pPr>
              <w:pStyle w:val="Normal"/>
              <w:tabs>
                <w:tab w:val="left" w:pos="0" w:leader="none"/>
              </w:tabs>
              <w:ind w:left="0" w:right="0" w:firstLine="567"/>
              <w:jc w:val="both"/>
              <w:rPr>
                <w:rFonts w:ascii="PT Astra Serif" w:hAnsi="PT Astra Serif"/>
                <w:sz w:val="26"/>
              </w:rPr>
            </w:pPr>
            <w:r>
              <w:rPr>
                <w:rFonts w:ascii="PT Astra Serif" w:hAnsi="PT Astra Serif"/>
                <w:b/>
                <w:sz w:val="26"/>
              </w:rPr>
              <w:t>Порядок приема заявки на участие в аукционе, адрес места ее приема, дата и время начала и окончания приема заявок на участие в аукционе:</w:t>
            </w:r>
          </w:p>
          <w:p>
            <w:pPr>
              <w:pStyle w:val="Normal"/>
              <w:tabs>
                <w:tab w:val="left" w:pos="0" w:leader="none"/>
              </w:tabs>
              <w:ind w:left="0" w:right="0" w:firstLine="567"/>
              <w:jc w:val="both"/>
              <w:rPr>
                <w:rFonts w:ascii="PT Astra Serif" w:hAnsi="PT Astra Serif"/>
                <w:sz w:val="26"/>
              </w:rPr>
            </w:pPr>
            <w:r>
              <w:rPr>
                <w:rFonts w:ascii="PT Astra Serif" w:hAnsi="PT Astra Serif"/>
                <w:sz w:val="26"/>
              </w:rPr>
              <w:t>Для участия в аукционе заявителями представляются следующие документы:</w:t>
            </w:r>
          </w:p>
          <w:p>
            <w:pPr>
              <w:pStyle w:val="Normal"/>
              <w:tabs>
                <w:tab w:val="left" w:pos="0" w:leader="none"/>
              </w:tabs>
              <w:ind w:left="0" w:right="0" w:firstLine="567"/>
              <w:jc w:val="both"/>
              <w:rPr>
                <w:rFonts w:ascii="PT Astra Serif" w:hAnsi="PT Astra Serif"/>
                <w:sz w:val="26"/>
              </w:rPr>
            </w:pPr>
            <w:r>
              <w:rPr>
                <w:rFonts w:ascii="PT Astra Serif" w:hAnsi="PT Astra Serif"/>
                <w:sz w:val="26"/>
              </w:rPr>
              <w:t xml:space="preserve">- заявка на участие в аукционе по установленной форме </w:t>
            </w:r>
            <w:r>
              <w:rPr>
                <w:rFonts w:ascii="PT Astra Serif" w:hAnsi="PT Astra Serif"/>
                <w:sz w:val="26"/>
                <w:u w:val="single"/>
              </w:rPr>
              <w:t>с указанием банковских реквизитов счета для возврата задатка</w:t>
            </w:r>
            <w:r>
              <w:rPr>
                <w:rFonts w:ascii="PT Astra Serif" w:hAnsi="PT Astra Serif"/>
                <w:sz w:val="26"/>
              </w:rPr>
              <w:t xml:space="preserve">;  </w:t>
            </w:r>
          </w:p>
          <w:p>
            <w:pPr>
              <w:pStyle w:val="Normal"/>
              <w:tabs>
                <w:tab w:val="left" w:pos="0" w:leader="none"/>
              </w:tabs>
              <w:ind w:left="0" w:right="0" w:firstLine="567"/>
              <w:jc w:val="both"/>
              <w:rPr>
                <w:rFonts w:ascii="PT Astra Serif" w:hAnsi="PT Astra Serif"/>
                <w:sz w:val="26"/>
              </w:rPr>
            </w:pPr>
            <w:r>
              <w:rPr>
                <w:rFonts w:ascii="PT Astra Serif" w:hAnsi="PT Astra Serif"/>
                <w:sz w:val="26"/>
              </w:rPr>
              <w:t xml:space="preserve">- копии документов, удостоверяющих личность заявителя (для граждан); </w:t>
            </w:r>
          </w:p>
          <w:p>
            <w:pPr>
              <w:pStyle w:val="Normal"/>
              <w:tabs>
                <w:tab w:val="left" w:pos="0" w:leader="none"/>
              </w:tabs>
              <w:ind w:left="0" w:right="0" w:firstLine="567"/>
              <w:jc w:val="both"/>
              <w:rPr>
                <w:rFonts w:ascii="PT Astra Serif" w:hAnsi="PT Astra Serif"/>
                <w:sz w:val="26"/>
              </w:rPr>
            </w:pPr>
            <w:r>
              <w:rPr>
                <w:rFonts w:ascii="PT Astra Serif" w:hAnsi="PT Astra Serif"/>
                <w:sz w:val="26"/>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ind w:left="0" w:right="0" w:firstLine="567"/>
              <w:jc w:val="both"/>
              <w:rPr>
                <w:rFonts w:ascii="PT Astra Serif" w:hAnsi="PT Astra Serif"/>
                <w:sz w:val="26"/>
              </w:rPr>
            </w:pPr>
            <w:r>
              <w:rPr>
                <w:rFonts w:ascii="PT Astra Serif" w:hAnsi="PT Astra Serif"/>
                <w:sz w:val="26"/>
              </w:rPr>
              <w:t>- документы, подтверждающие внесение задатка;</w:t>
            </w:r>
          </w:p>
          <w:p>
            <w:pPr>
              <w:pStyle w:val="Normal"/>
              <w:ind w:left="0" w:right="0" w:firstLine="567"/>
              <w:jc w:val="both"/>
              <w:rPr>
                <w:rFonts w:ascii="PT Astra Serif" w:hAnsi="PT Astra Serif"/>
                <w:sz w:val="26"/>
              </w:rPr>
            </w:pPr>
            <w:r>
              <w:rPr>
                <w:rFonts w:ascii="PT Astra Serif" w:hAnsi="PT Astra Serif"/>
                <w:sz w:val="26"/>
              </w:rPr>
              <w:t>- надлежащим образом оформленная доверенность на лицо, имеющее право действовать от имени заявителя, если заявка подается представителем заявителя.</w:t>
            </w:r>
          </w:p>
          <w:p>
            <w:pPr>
              <w:pStyle w:val="Normal"/>
              <w:ind w:left="0" w:right="0" w:firstLine="567"/>
              <w:jc w:val="both"/>
              <w:rPr>
                <w:rFonts w:ascii="PT Astra Serif" w:hAnsi="PT Astra Serif"/>
                <w:sz w:val="26"/>
              </w:rPr>
            </w:pPr>
            <w:r>
              <w:rPr>
                <w:rFonts w:ascii="PT Astra Serif" w:hAnsi="PT Astra Serif"/>
                <w:sz w:val="26"/>
              </w:rPr>
              <w:t>Все вышеуказанные документы должны быть составлены на русском языке (либо содержать надлежащим образом заверенный перевод на русский язык).</w:t>
            </w:r>
          </w:p>
          <w:p>
            <w:pPr>
              <w:pStyle w:val="Normal"/>
              <w:ind w:left="0" w:right="0" w:firstLine="567"/>
              <w:jc w:val="both"/>
              <w:rPr>
                <w:rFonts w:ascii="PT Astra Serif" w:hAnsi="PT Astra Serif"/>
                <w:sz w:val="26"/>
              </w:rPr>
            </w:pPr>
            <w:r>
              <w:rPr>
                <w:rFonts w:ascii="PT Astra Serif" w:hAnsi="PT Astra Serif"/>
                <w:sz w:val="26"/>
              </w:rPr>
              <w:t>Предоставление документов, подтверждающих внесение задатка, признается заключением соглашения о задатке.</w:t>
            </w:r>
          </w:p>
          <w:p>
            <w:pPr>
              <w:pStyle w:val="Normal"/>
              <w:ind w:left="0" w:right="0" w:firstLine="539"/>
              <w:jc w:val="both"/>
              <w:rPr>
                <w:rFonts w:ascii="PT Astra Serif" w:hAnsi="PT Astra Serif"/>
                <w:sz w:val="26"/>
              </w:rPr>
            </w:pPr>
            <w:r>
              <w:rPr>
                <w:rFonts w:ascii="PT Astra Serif" w:hAnsi="PT Astra Serif"/>
                <w:sz w:val="26"/>
              </w:rPr>
              <w:t xml:space="preserve">Заявитель должен заполнить и представить заявку на участие в аукционе. В состав заявки входят все документы, которые представляются согласно требованиям настоящего Извещения. Заявка оформляется на русском языке. Вместе с заявкой представляется опись документов. Все листы заявки должны быть прошиты, пронумерованы, заверены подписью заявителя (или уполномоченного им лица). В случае несоответствия представленных документов сведениям, указанным в описи документов, организатор аукциона вправе принять такие документы с одновременной выдачей заявителю расписки о фактически полученных документах. </w:t>
            </w:r>
          </w:p>
          <w:p>
            <w:pPr>
              <w:pStyle w:val="Normal"/>
              <w:ind w:left="0" w:right="0" w:firstLine="539"/>
              <w:jc w:val="both"/>
              <w:rPr>
                <w:rFonts w:ascii="PT Astra Serif" w:hAnsi="PT Astra Serif"/>
                <w:sz w:val="26"/>
              </w:rPr>
            </w:pPr>
            <w:r>
              <w:rPr>
                <w:rFonts w:ascii="PT Astra Serif" w:hAnsi="PT Astra Serif"/>
                <w:sz w:val="26"/>
              </w:rPr>
              <w:t>Заявка на участие в аукционе должна быть отпечатана или разборчиво написана чернилами (не рекомендуется использовать красные и зеленые чернила) и подписана заявителем или лицом, которое имеет право действовать от имени заявителя. В тексте не должно быть никаких вставок между строк, надписей поверх изначального текста, за исключением необходимых исправлений ошибок, допущенных самим заявителем. Никакие исправления не будут иметь силу, за исключением тех случаев, когда они парафированы лицом или лицами, подписавшими заявку на участие в аукционе. Сведения, которые содержатся в заявках, не должны допускать двусмысленных толкований.</w:t>
            </w:r>
          </w:p>
          <w:p>
            <w:pPr>
              <w:pStyle w:val="Normal"/>
              <w:ind w:left="0" w:right="0" w:firstLine="539"/>
              <w:jc w:val="both"/>
              <w:rPr>
                <w:rFonts w:ascii="PT Astra Serif" w:hAnsi="PT Astra Serif"/>
                <w:sz w:val="26"/>
              </w:rPr>
            </w:pPr>
            <w:r>
              <w:rPr>
                <w:rFonts w:ascii="PT Astra Serif" w:hAnsi="PT Astra Serif"/>
                <w:sz w:val="26"/>
              </w:rPr>
              <w:t>Заявитель, оформивший заявку с отклонениями от требований данного Извещения, не допускается к участию в аукционе на основании несоответствия его заявки требованиям, установленным Извещением.</w:t>
            </w:r>
          </w:p>
          <w:p>
            <w:pPr>
              <w:pStyle w:val="Normal"/>
              <w:ind w:left="0" w:right="0" w:firstLine="567"/>
              <w:jc w:val="both"/>
              <w:rPr>
                <w:rFonts w:ascii="PT Astra Serif" w:hAnsi="PT Astra Serif"/>
                <w:sz w:val="26"/>
              </w:rPr>
            </w:pPr>
            <w:r>
              <w:rPr>
                <w:rFonts w:ascii="PT Astra Serif" w:hAnsi="PT Astra Serif"/>
                <w:sz w:val="26"/>
              </w:rPr>
              <w:t>Форму заявки на участие в аукционе и описи к ней, а также проект договора аренды земельного участка можно получить на официальных сайтах: Российской Федерации в информационно-телекоммуникационной сети Интернет www.torgi.gov.ru, комитета по управлению имуществом Курской области в информационно-телекоммуникационной сети Интернет www.imkursk.ru, а также в комитете по управлению имуществом Курской области по адресу: г. Курск,                   ул. Марата, д. 9, кабинет 435.</w:t>
            </w:r>
          </w:p>
          <w:p>
            <w:pPr>
              <w:pStyle w:val="Normal"/>
              <w:ind w:left="0" w:right="0" w:firstLine="567"/>
              <w:jc w:val="both"/>
              <w:rPr>
                <w:rFonts w:ascii="PT Astra Serif" w:hAnsi="PT Astra Serif"/>
                <w:sz w:val="26"/>
              </w:rPr>
            </w:pPr>
            <w:r>
              <w:rPr>
                <w:rFonts w:ascii="PT Astra Serif" w:hAnsi="PT Astra Serif"/>
                <w:sz w:val="26"/>
              </w:rPr>
              <w:t>Заявитель вправе подать только одну заявку на участие в аукционе.</w:t>
            </w:r>
          </w:p>
          <w:p>
            <w:pPr>
              <w:pStyle w:val="Normal"/>
              <w:ind w:left="0" w:right="0" w:firstLine="567"/>
              <w:jc w:val="both"/>
              <w:rPr>
                <w:rFonts w:ascii="PT Astra Serif" w:hAnsi="PT Astra Serif"/>
                <w:sz w:val="26"/>
              </w:rPr>
            </w:pPr>
            <w:r>
              <w:rPr>
                <w:rFonts w:ascii="PT Astra Serif" w:hAnsi="PT Astra Serif"/>
                <w:b/>
                <w:sz w:val="26"/>
              </w:rPr>
              <w:t>Заявки на участие в аукционе принимаются</w:t>
            </w:r>
            <w:r>
              <w:rPr>
                <w:rFonts w:ascii="PT Astra Serif" w:hAnsi="PT Astra Serif"/>
                <w:sz w:val="26"/>
              </w:rPr>
              <w:t xml:space="preserve"> по месту проведения аукциона (каб. 435) – </w:t>
            </w:r>
            <w:r>
              <w:rPr>
                <w:rFonts w:ascii="PT Astra Serif" w:hAnsi="PT Astra Serif"/>
                <w:b/>
                <w:sz w:val="26"/>
              </w:rPr>
              <w:t>19 марта 2020 года</w:t>
            </w:r>
            <w:r>
              <w:rPr>
                <w:rFonts w:ascii="PT Astra Serif" w:hAnsi="PT Astra Serif"/>
                <w:sz w:val="26"/>
              </w:rPr>
              <w:t>.</w:t>
            </w:r>
          </w:p>
          <w:p>
            <w:pPr>
              <w:pStyle w:val="Normal"/>
              <w:tabs>
                <w:tab w:val="left" w:pos="0" w:leader="none"/>
              </w:tabs>
              <w:spacing w:lineRule="exact" w:line="260"/>
              <w:ind w:left="0" w:right="0" w:firstLine="567"/>
              <w:jc w:val="both"/>
              <w:rPr>
                <w:rFonts w:ascii="PT Astra Serif" w:hAnsi="PT Astra Serif"/>
                <w:sz w:val="26"/>
              </w:rPr>
            </w:pPr>
            <w:r>
              <w:rPr>
                <w:rFonts w:ascii="PT Astra Serif" w:hAnsi="PT Astra Serif"/>
                <w:sz w:val="26"/>
              </w:rPr>
              <w:t>Подача заявок осуществляется по адресу: г. Курск, ул. Марата, д. 9, каб. 435, телефон: (4712) 70-87-47, с 10 часов 00 минут (по московскому времени) до 17 часов 00 минут (по московскому времени), перерыв с 13 часов 00 минут до 14 часов 00 минут (по московскому времени).</w:t>
            </w:r>
          </w:p>
          <w:p>
            <w:pPr>
              <w:pStyle w:val="Normal"/>
              <w:ind w:left="0" w:right="0" w:firstLine="567"/>
              <w:jc w:val="both"/>
              <w:rPr>
                <w:rFonts w:ascii="PT Astra Serif" w:hAnsi="PT Astra Serif"/>
                <w:sz w:val="26"/>
              </w:rPr>
            </w:pPr>
            <w:r>
              <w:rPr>
                <w:rFonts w:ascii="PT Astra Serif" w:hAnsi="PT Astra Serif"/>
                <w:sz w:val="26"/>
              </w:rPr>
              <w:t>Заявка на участие в аукционе, поступившая по истечении срока приема заявок, возвращается заявителю в день ее поступления.</w:t>
            </w:r>
          </w:p>
          <w:p>
            <w:pPr>
              <w:pStyle w:val="Normal"/>
              <w:ind w:left="0" w:right="0" w:firstLine="567"/>
              <w:jc w:val="both"/>
              <w:rPr>
                <w:rFonts w:ascii="PT Astra Serif" w:hAnsi="PT Astra Serif"/>
                <w:sz w:val="26"/>
              </w:rPr>
            </w:pPr>
            <w:r>
              <w:rPr>
                <w:rFonts w:ascii="PT Astra Serif" w:hAnsi="PT Astra Serif"/>
                <w:sz w:val="26"/>
              </w:rPr>
              <w:t xml:space="preserve">Заявитель имеет право отозвать принятую организатором аукциона заявку на участие в аукционе до окончания срока приема заявок, уведомив об этом в письменной форме организатора аукциона. </w:t>
            </w:r>
          </w:p>
          <w:p>
            <w:pPr>
              <w:pStyle w:val="Normal"/>
              <w:ind w:left="0" w:right="0" w:firstLine="567"/>
              <w:jc w:val="both"/>
              <w:rPr>
                <w:rFonts w:ascii="PT Astra Serif" w:hAnsi="PT Astra Serif"/>
                <w:sz w:val="26"/>
              </w:rPr>
            </w:pPr>
            <w:r>
              <w:rPr>
                <w:rFonts w:ascii="PT Astra Serif" w:hAnsi="PT Astra Serif"/>
                <w:b/>
                <w:sz w:val="26"/>
              </w:rPr>
              <w:t>Порядок определения участников аукциона:</w:t>
            </w:r>
          </w:p>
          <w:p>
            <w:pPr>
              <w:pStyle w:val="Normal"/>
              <w:ind w:left="0" w:right="0" w:firstLine="567"/>
              <w:jc w:val="both"/>
              <w:rPr>
                <w:rFonts w:ascii="PT Astra Serif" w:hAnsi="PT Astra Serif"/>
                <w:sz w:val="26"/>
              </w:rPr>
            </w:pPr>
            <w:r>
              <w:rPr>
                <w:rFonts w:ascii="PT Astra Serif" w:hAnsi="PT Astra Serif"/>
                <w:b/>
                <w:sz w:val="26"/>
              </w:rPr>
              <w:t>Рассмотрение заявок</w:t>
            </w:r>
            <w:r>
              <w:rPr>
                <w:rFonts w:ascii="PT Astra Serif" w:hAnsi="PT Astra Serif"/>
                <w:sz w:val="26"/>
              </w:rPr>
              <w:t xml:space="preserve"> на участие в аукционе и определение участников аукциона состоится по месту проведения аукциона в </w:t>
            </w:r>
            <w:r>
              <w:rPr>
                <w:rFonts w:ascii="PT Astra Serif" w:hAnsi="PT Astra Serif"/>
                <w:b/>
                <w:sz w:val="26"/>
              </w:rPr>
              <w:t>14 часов 30 минут                               24 марта 2020 года.</w:t>
            </w:r>
          </w:p>
          <w:p>
            <w:pPr>
              <w:pStyle w:val="Normal"/>
              <w:ind w:left="0" w:right="0" w:firstLine="567"/>
              <w:jc w:val="both"/>
              <w:rPr>
                <w:rFonts w:ascii="PT Astra Serif" w:hAnsi="PT Astra Serif"/>
                <w:sz w:val="26"/>
              </w:rPr>
            </w:pPr>
            <w:r>
              <w:rPr>
                <w:rFonts w:ascii="PT Astra Serif" w:hAnsi="PT Astra Serif"/>
                <w:sz w:val="26"/>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p>
          <w:p>
            <w:pPr>
              <w:pStyle w:val="Normal"/>
              <w:ind w:left="0" w:right="0" w:firstLine="567"/>
              <w:jc w:val="both"/>
              <w:rPr>
                <w:rFonts w:ascii="PT Astra Serif" w:hAnsi="PT Astra Serif"/>
                <w:sz w:val="26"/>
              </w:rPr>
            </w:pPr>
            <w:r>
              <w:rPr>
                <w:rFonts w:ascii="PT Astra Serif" w:hAnsi="PT Astra Serif"/>
                <w:sz w:val="26"/>
              </w:rPr>
              <w:t>Заявитель не допускается к участию в аукционе в следующих случаях:</w:t>
            </w:r>
          </w:p>
          <w:p>
            <w:pPr>
              <w:pStyle w:val="Normal"/>
              <w:ind w:left="0" w:right="0" w:firstLine="567"/>
              <w:jc w:val="both"/>
              <w:rPr>
                <w:rFonts w:ascii="PT Astra Serif" w:hAnsi="PT Astra Serif"/>
                <w:sz w:val="26"/>
              </w:rPr>
            </w:pPr>
            <w:r>
              <w:rPr>
                <w:rFonts w:ascii="PT Astra Serif" w:hAnsi="PT Astra Serif"/>
                <w:sz w:val="26"/>
              </w:rPr>
              <w:t>1) непредставление необходимых для участия в аукционе документов или представление недостоверных сведений;</w:t>
            </w:r>
          </w:p>
          <w:p>
            <w:pPr>
              <w:pStyle w:val="Normal"/>
              <w:ind w:left="0" w:right="0" w:firstLine="567"/>
              <w:jc w:val="both"/>
              <w:rPr>
                <w:rFonts w:ascii="PT Astra Serif" w:hAnsi="PT Astra Serif"/>
                <w:sz w:val="26"/>
              </w:rPr>
            </w:pPr>
            <w:r>
              <w:rPr>
                <w:rFonts w:ascii="PT Astra Serif" w:hAnsi="PT Astra Serif"/>
                <w:sz w:val="26"/>
              </w:rPr>
              <w:t>2) непоступление задатка на дату рассмотрения заявок на участие в аукционе;</w:t>
            </w:r>
          </w:p>
          <w:p>
            <w:pPr>
              <w:pStyle w:val="Normal"/>
              <w:ind w:left="0" w:right="0" w:firstLine="567"/>
              <w:jc w:val="both"/>
              <w:rPr>
                <w:rFonts w:ascii="PT Astra Serif" w:hAnsi="PT Astra Serif"/>
                <w:sz w:val="26"/>
              </w:rPr>
            </w:pPr>
            <w:r>
              <w:rPr>
                <w:rFonts w:ascii="PT Astra Serif" w:hAnsi="PT Astra Serif"/>
                <w:sz w:val="26"/>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pPr>
              <w:pStyle w:val="Normal"/>
              <w:ind w:left="0" w:right="0" w:firstLine="567"/>
              <w:jc w:val="both"/>
              <w:rPr>
                <w:rFonts w:ascii="PT Astra Serif" w:hAnsi="PT Astra Serif"/>
                <w:sz w:val="26"/>
              </w:rPr>
            </w:pPr>
            <w:r>
              <w:rPr>
                <w:rFonts w:ascii="PT Astra Serif" w:hAnsi="PT Astra Serif"/>
                <w:sz w:val="26"/>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pPr>
              <w:pStyle w:val="Normal"/>
              <w:ind w:left="0" w:right="0" w:firstLine="567"/>
              <w:jc w:val="both"/>
              <w:rPr>
                <w:rFonts w:ascii="PT Astra Serif" w:hAnsi="PT Astra Serif"/>
                <w:sz w:val="26"/>
              </w:rPr>
            </w:pPr>
            <w:r>
              <w:rPr>
                <w:rFonts w:ascii="PT Astra Serif" w:hAnsi="PT Astra Serif"/>
                <w:b/>
                <w:sz w:val="26"/>
              </w:rPr>
              <w:t>Регистрация участников аукциона проводится в день и в месте проведения аукциона (каб. 303) с 10:30 до 11:00 часов.</w:t>
            </w:r>
          </w:p>
          <w:p>
            <w:pPr>
              <w:pStyle w:val="Normal"/>
              <w:ind w:left="0" w:right="0" w:firstLine="567"/>
              <w:jc w:val="both"/>
              <w:rPr>
                <w:rFonts w:ascii="PT Astra Serif" w:hAnsi="PT Astra Serif"/>
                <w:sz w:val="26"/>
              </w:rPr>
            </w:pPr>
            <w:r>
              <w:rPr>
                <w:rFonts w:ascii="PT Astra Serif" w:hAnsi="PT Astra Serif"/>
                <w:sz w:val="26"/>
              </w:rPr>
              <w:t>Для регистрации участников аукциона заявители представляют следующие документы:</w:t>
            </w:r>
          </w:p>
          <w:p>
            <w:pPr>
              <w:pStyle w:val="Normal"/>
              <w:ind w:left="0" w:right="0" w:firstLine="567"/>
              <w:jc w:val="both"/>
              <w:rPr>
                <w:rFonts w:ascii="PT Astra Serif" w:hAnsi="PT Astra Serif"/>
                <w:sz w:val="26"/>
              </w:rPr>
            </w:pPr>
            <w:r>
              <w:rPr>
                <w:rFonts w:ascii="PT Astra Serif" w:hAnsi="PT Astra Serif"/>
                <w:sz w:val="26"/>
              </w:rPr>
              <w:t>- копии документов, удостоверяющих личность участников аукциона;</w:t>
            </w:r>
          </w:p>
          <w:p>
            <w:pPr>
              <w:pStyle w:val="Normal"/>
              <w:ind w:left="0" w:right="0" w:firstLine="567"/>
              <w:jc w:val="both"/>
              <w:rPr>
                <w:rFonts w:ascii="PT Astra Serif" w:hAnsi="PT Astra Serif"/>
                <w:sz w:val="26"/>
              </w:rPr>
            </w:pPr>
            <w:r>
              <w:rPr>
                <w:rFonts w:ascii="PT Astra Serif" w:hAnsi="PT Astra Serif"/>
                <w:sz w:val="26"/>
              </w:rPr>
              <w:t>- надлежащим образом оформленная доверенность на лицо, имеющее право действовать от имени заявителя и представлять его интересы в комитете по управлению имуществом Курской области на аукционах на право заключения договоров аренды земельных участков, государственная собственность на которые не разграничена, расположенных в границах города Курска, участвовать в таких аукционах и назначать ставки на аукционных торгах, подписывать протокол о результатах аукциона, если участником аукциона является представитель заявителя.</w:t>
            </w:r>
          </w:p>
          <w:p>
            <w:pPr>
              <w:pStyle w:val="Normal"/>
              <w:ind w:left="0" w:right="0" w:firstLine="567"/>
              <w:jc w:val="both"/>
              <w:rPr>
                <w:rFonts w:ascii="PT Astra Serif" w:hAnsi="PT Astra Serif"/>
                <w:sz w:val="26"/>
              </w:rPr>
            </w:pPr>
            <w:r>
              <w:rPr>
                <w:rFonts w:ascii="PT Astra Serif" w:hAnsi="PT Astra Serif"/>
                <w:b/>
                <w:sz w:val="26"/>
              </w:rPr>
              <w:t>Порядок подведения итогов аукциона:</w:t>
            </w:r>
          </w:p>
          <w:p>
            <w:pPr>
              <w:pStyle w:val="Normal"/>
              <w:ind w:left="0" w:right="0" w:firstLine="567"/>
              <w:jc w:val="both"/>
              <w:rPr>
                <w:rFonts w:ascii="PT Astra Serif" w:hAnsi="PT Astra Serif"/>
                <w:sz w:val="26"/>
              </w:rPr>
            </w:pPr>
            <w:r>
              <w:rPr>
                <w:rFonts w:ascii="PT Astra Serif" w:hAnsi="PT Astra Serif"/>
                <w:sz w:val="26"/>
              </w:rPr>
              <w:t>Подведение итогов аукциона состоится в день и месте проведения аукциона.</w:t>
            </w:r>
          </w:p>
          <w:p>
            <w:pPr>
              <w:pStyle w:val="Normal"/>
              <w:ind w:left="0" w:right="0" w:firstLine="567"/>
              <w:jc w:val="both"/>
              <w:rPr>
                <w:rFonts w:ascii="PT Astra Serif" w:hAnsi="PT Astra Serif"/>
                <w:sz w:val="26"/>
              </w:rPr>
            </w:pPr>
            <w:r>
              <w:rPr>
                <w:rFonts w:ascii="PT Astra Serif" w:hAnsi="PT Astra Serif"/>
                <w:sz w:val="26"/>
              </w:rPr>
              <w:t>Победителем аукциона признается участник аукциона, предложивший наибольший размер ежегодной арендной платы за земельный участок.</w:t>
            </w:r>
          </w:p>
          <w:p>
            <w:pPr>
              <w:pStyle w:val="Normal"/>
              <w:ind w:left="0" w:right="0" w:firstLine="567"/>
              <w:jc w:val="both"/>
              <w:rPr>
                <w:rFonts w:ascii="PT Astra Serif" w:hAnsi="PT Astra Serif"/>
                <w:sz w:val="26"/>
              </w:rPr>
            </w:pPr>
            <w:r>
              <w:rPr>
                <w:rFonts w:ascii="PT Astra Serif" w:hAnsi="PT Astra Serif"/>
                <w:sz w:val="26"/>
              </w:rPr>
              <w:t>Лицо, выигравшее аукцион, и организатор аукциона подписывают в день проведения и в месте проведения аукциона протокол о результатах аукциона.</w:t>
            </w:r>
          </w:p>
          <w:p>
            <w:pPr>
              <w:pStyle w:val="Normal"/>
              <w:ind w:left="0" w:right="0" w:firstLine="567"/>
              <w:jc w:val="both"/>
              <w:rPr>
                <w:rFonts w:ascii="PT Astra Serif" w:hAnsi="PT Astra Serif"/>
                <w:sz w:val="26"/>
              </w:rPr>
            </w:pPr>
            <w:r>
              <w:rPr>
                <w:rFonts w:ascii="PT Astra Serif" w:hAnsi="PT Astra Serif"/>
                <w:sz w:val="26"/>
              </w:rPr>
              <w:t>В случае, если в аукционе участвует только один участник или при проведении аукциона не присутствует ни один из участников аукциона, либо в случае, если после троекратного объявления предложения о начальной цене предмета аукциона не поступит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pPr>
              <w:pStyle w:val="Normal"/>
              <w:ind w:left="0" w:right="0" w:firstLine="567"/>
              <w:jc w:val="both"/>
              <w:rPr>
                <w:rFonts w:ascii="PT Astra Serif" w:hAnsi="PT Astra Serif"/>
                <w:sz w:val="26"/>
              </w:rPr>
            </w:pPr>
            <w:r>
              <w:rPr>
                <w:rFonts w:ascii="PT Astra Serif" w:hAnsi="PT Astra Serif"/>
                <w:sz w:val="26"/>
              </w:rPr>
              <w:t>Протокол о результатах аукциона размещается на официальном сайте Российской Федерации в информационно-телекоммуникационной сети "Интернет" www.torgi.gov.ru в течение одного рабочего дня со дня подписания протокола о результатах аукциона.</w:t>
            </w:r>
          </w:p>
          <w:p>
            <w:pPr>
              <w:pStyle w:val="Normal"/>
              <w:ind w:left="0" w:right="0" w:firstLine="567"/>
              <w:jc w:val="both"/>
              <w:rPr>
                <w:rFonts w:ascii="PT Astra Serif" w:hAnsi="PT Astra Serif"/>
                <w:sz w:val="26"/>
              </w:rPr>
            </w:pPr>
            <w:r>
              <w:rPr>
                <w:rFonts w:ascii="PT Astra Serif" w:hAnsi="PT Astra Serif"/>
                <w:sz w:val="26"/>
              </w:rPr>
              <w:t xml:space="preserve">В десятидневный срок со дня составления протокола о результатах аукциона комитет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w:t>
            </w:r>
          </w:p>
          <w:p>
            <w:pPr>
              <w:pStyle w:val="Normal"/>
              <w:ind w:left="0" w:right="0" w:firstLine="567"/>
              <w:jc w:val="both"/>
              <w:rPr/>
            </w:pPr>
            <w:r>
              <w:rPr>
                <w:rFonts w:ascii="PT Astra Serif" w:hAnsi="PT Astra Serif"/>
                <w:sz w:val="26"/>
              </w:rPr>
              <w:t xml:space="preserve">Договор аренды земельного участка заключается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hyperlink r:id="rId2">
              <w:r>
                <w:rPr>
                  <w:rStyle w:val="ListLabel2"/>
                  <w:rFonts w:ascii="PT Astra Serif" w:hAnsi="PT Astra Serif"/>
                  <w:sz w:val="26"/>
                </w:rPr>
                <w:t>www.torgi.gov.ru</w:t>
              </w:r>
            </w:hyperlink>
            <w:r>
              <w:rPr>
                <w:rFonts w:ascii="PT Astra Serif" w:hAnsi="PT Astra Serif"/>
                <w:sz w:val="26"/>
              </w:rPr>
              <w:t>.</w:t>
            </w:r>
          </w:p>
          <w:p>
            <w:pPr>
              <w:pStyle w:val="Normal"/>
              <w:ind w:left="0" w:right="0" w:firstLine="567"/>
              <w:jc w:val="both"/>
              <w:rPr>
                <w:rFonts w:ascii="PT Astra Serif" w:hAnsi="PT Astra Serif"/>
                <w:sz w:val="26"/>
              </w:rPr>
            </w:pPr>
            <w:r>
              <w:rPr>
                <w:rFonts w:ascii="PT Astra Serif" w:hAnsi="PT Astra Serif"/>
                <w:sz w:val="26"/>
              </w:rPr>
              <w:t>Сведения о лицах, уклонившихся от заключения договора аренды земельного участка, являющегося предметом аукциона, и с которыми указанный договор заключается в соответствии требованиями пунктов 13, 14 или 20 статьи 39.12 Земельного кодекса Российской Федерации, включаются в реестр недобросовестных участников аукциона.</w:t>
            </w:r>
          </w:p>
          <w:p>
            <w:pPr>
              <w:pStyle w:val="Normal"/>
              <w:ind w:left="0" w:right="0" w:firstLine="567"/>
              <w:jc w:val="both"/>
              <w:rPr>
                <w:rFonts w:ascii="PT Astra Serif" w:hAnsi="PT Astra Serif"/>
                <w:sz w:val="26"/>
              </w:rPr>
            </w:pPr>
            <w:r>
              <w:rPr>
                <w:rFonts w:ascii="PT Astra Serif" w:hAnsi="PT Astra Serif"/>
                <w:sz w:val="26"/>
              </w:rPr>
              <w:t>Победитель аукциона не вправе уступать права и осуществлять перевод долга по обязательствам, возникшим из заключенного на аукционе договора аренды земельного участка. Обязательства по такому договору должны быть исполнены победителем аукциона лично.</w:t>
            </w:r>
          </w:p>
          <w:p>
            <w:pPr>
              <w:pStyle w:val="Normal"/>
              <w:ind w:left="0" w:right="0" w:firstLine="567"/>
              <w:jc w:val="both"/>
              <w:rPr>
                <w:rFonts w:ascii="PT Astra Serif" w:hAnsi="PT Astra Serif"/>
                <w:sz w:val="26"/>
              </w:rPr>
            </w:pPr>
            <w:r>
              <w:rPr>
                <w:rFonts w:ascii="PT Astra Serif" w:hAnsi="PT Astra Serif"/>
                <w:sz w:val="26"/>
              </w:rPr>
              <w:t>Решение об отказе в проведении аукциона может быть принято в случае выявления обстоятельств, предусмотренных пунктом 8 статьи 39.11 Земельного кодекса Российской Федерации.</w:t>
            </w:r>
          </w:p>
          <w:p>
            <w:pPr>
              <w:pStyle w:val="Normal"/>
              <w:ind w:left="0" w:right="0" w:firstLine="567"/>
              <w:jc w:val="both"/>
              <w:rPr>
                <w:rFonts w:ascii="PT Astra Serif" w:hAnsi="PT Astra Serif"/>
                <w:sz w:val="26"/>
              </w:rPr>
            </w:pPr>
            <w:r>
              <w:rPr>
                <w:rFonts w:ascii="PT Astra Serif" w:hAnsi="PT Astra Serif"/>
                <w:b/>
                <w:sz w:val="26"/>
              </w:rPr>
              <w:t>Порядок возврата задатков:</w:t>
            </w:r>
          </w:p>
          <w:p>
            <w:pPr>
              <w:pStyle w:val="Normal"/>
              <w:ind w:left="0" w:right="0" w:firstLine="567"/>
              <w:jc w:val="both"/>
              <w:rPr>
                <w:rFonts w:ascii="PT Astra Serif" w:hAnsi="PT Astra Serif"/>
                <w:sz w:val="26"/>
              </w:rPr>
            </w:pPr>
            <w:r>
              <w:rPr>
                <w:rFonts w:ascii="PT Astra Serif" w:hAnsi="PT Astra Serif"/>
                <w:sz w:val="26"/>
              </w:rPr>
              <w:t>Заявителям, не допущенным к участию в аукционе, внесенный ими задаток возвращается в течение трех рабочих дней со дня оформления протокола приема заявок на участие в аукционе путем перечисления суммы задатка на счет заявителя по реквизитам, указанным в заявке на участие в аукционе.</w:t>
            </w:r>
          </w:p>
          <w:p>
            <w:pPr>
              <w:pStyle w:val="Normal"/>
              <w:ind w:left="0" w:right="0" w:firstLine="567"/>
              <w:jc w:val="both"/>
              <w:rPr>
                <w:rFonts w:ascii="PT Astra Serif" w:hAnsi="PT Astra Serif"/>
                <w:sz w:val="26"/>
              </w:rPr>
            </w:pPr>
            <w:r>
              <w:rPr>
                <w:rFonts w:ascii="PT Astra Serif" w:hAnsi="PT Astra Serif"/>
                <w:sz w:val="26"/>
              </w:rPr>
              <w:t>В течение трех рабочих дней со дня подписания протокола о результатах аукциона возвращаются задатки лицам, участвовавшим в аукционе, но не победившим в нем, путем перечисления суммы задатка на счет участника аукциона по реквизитам, указанным в заявке на участие в аукционе.</w:t>
            </w:r>
          </w:p>
          <w:p>
            <w:pPr>
              <w:pStyle w:val="Normal"/>
              <w:ind w:left="0" w:right="0" w:firstLine="567"/>
              <w:jc w:val="both"/>
              <w:rPr>
                <w:rFonts w:ascii="PT Astra Serif" w:hAnsi="PT Astra Serif"/>
                <w:sz w:val="26"/>
              </w:rPr>
            </w:pPr>
            <w:r>
              <w:rPr>
                <w:rFonts w:ascii="PT Astra Serif" w:hAnsi="PT Astra Serif"/>
                <w:sz w:val="26"/>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или 20 статьи 39.12 Земельного кодекса Российской Федерации, засчитываются в счет арендной платы за земельный участок. Задаток, внесенный этими лицами, не заключившими договор аренды земельного участка вследствие уклонения от заключения указанного договора, не возвращается.</w:t>
            </w:r>
          </w:p>
          <w:p>
            <w:pPr>
              <w:pStyle w:val="Normal"/>
              <w:ind w:left="0" w:right="0" w:firstLine="567"/>
              <w:jc w:val="both"/>
              <w:rPr>
                <w:rFonts w:ascii="PT Astra Serif" w:hAnsi="PT Astra Serif"/>
                <w:sz w:val="26"/>
              </w:rPr>
            </w:pPr>
            <w:r>
              <w:rPr>
                <w:rFonts w:ascii="PT Astra Serif" w:hAnsi="PT Astra Serif"/>
                <w:sz w:val="26"/>
              </w:rPr>
              <w:t>В случае отзыва заявителем заявки на участие в аукционе до окончания срока приема заявок, внесенный им задаток возвращается в течение трех рабочих дней со дня поступления уведомления об отзыве заявки, путем перечисления суммы задатка на счет заявителя по реквизитам, указанным в заявке на участие в аукционе.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pPr>
              <w:pStyle w:val="Normal"/>
              <w:ind w:left="0" w:right="0" w:firstLine="567"/>
              <w:jc w:val="both"/>
              <w:rPr>
                <w:rFonts w:ascii="PT Astra Serif" w:hAnsi="PT Astra Serif"/>
                <w:sz w:val="26"/>
              </w:rPr>
            </w:pPr>
            <w:r>
              <w:rPr>
                <w:rFonts w:ascii="PT Astra Serif" w:hAnsi="PT Astra Serif"/>
                <w:sz w:val="26"/>
              </w:rPr>
              <w:t>В случае отказа от проведения аукциона внесенные участниками задатки возвращаются в течение трех дней со дня принятия решения об отказе в проведении аукциона путем перечисления суммы задатка на счет заявителя по реквизитам, указанным в заявке на участие в аукционе.</w:t>
            </w:r>
          </w:p>
          <w:p>
            <w:pPr>
              <w:pStyle w:val="Normal"/>
              <w:ind w:left="0" w:right="0" w:firstLine="567"/>
              <w:jc w:val="both"/>
              <w:rPr>
                <w:rFonts w:ascii="PT Astra Serif" w:hAnsi="PT Astra Serif"/>
                <w:sz w:val="26"/>
              </w:rPr>
            </w:pPr>
            <w:r>
              <w:rPr>
                <w:rFonts w:ascii="PT Astra Serif" w:hAnsi="PT Astra Serif"/>
                <w:sz w:val="26"/>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tc>
      </w:tr>
    </w:tbl>
    <w:p>
      <w:pPr>
        <w:pStyle w:val="Normal"/>
        <w:rPr/>
      </w:pPr>
      <w:r>
        <w:rPr/>
      </w:r>
    </w:p>
    <w:sectPr>
      <w:type w:val="nextPage"/>
      <w:pgSz w:w="11906" w:h="16838"/>
      <w:pgMar w:left="1701" w:right="851"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XO Thames">
    <w:charset w:val="01"/>
    <w:family w:val="roman"/>
    <w:pitch w:val="variable"/>
  </w:font>
  <w:font w:name="Liberation Sans">
    <w:altName w:val="Arial"/>
    <w:charset w:val="01"/>
    <w:family w:val="roman"/>
    <w:pitch w:val="variable"/>
  </w:font>
  <w:font w:name="Tahoma">
    <w:charset w:val="01"/>
    <w:family w:val="roman"/>
    <w:pitch w:val="variable"/>
  </w:font>
  <w:font w:name="PT Astra Serif">
    <w:charset w:val="01"/>
    <w:family w:val="roman"/>
    <w:pitch w:val="variable"/>
  </w:font>
  <w:font w:name="Arial">
    <w:charset w:val="01"/>
    <w:family w:val="roman"/>
    <w:pitch w:val="variable"/>
  </w:font>
  <w:font w:name="Calibri">
    <w:charset w:val="01"/>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Calibri" w:hAnsi="Calibri" w:cs="Calibri"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Calibri" w:hAnsi="Calibri" w:cs="Calibri"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Calibri" w:hAnsi="Calibri" w:cs="Calibri"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Calibri" w:hAnsi="Calibri" w:cs="Calibri"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decimal"/>
      <w:lvlText w:val="%1."/>
      <w:lvlJc w:val="left"/>
      <w:pPr>
        <w:ind w:left="927" w:hanging="360"/>
      </w:pPr>
      <w:rPr>
        <w:sz w:val="26"/>
        <w:rFonts w:ascii="PT Astra Serif" w:hAnsi="PT Astra Seri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92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WenQuanYi Zen Hei Sharp" w:cs="Lohit Devanagari"/>
        <w:color w:val="000000"/>
        <w:lang w:val="ru-RU" w:eastAsia="zh-CN" w:bidi="hi-IN"/>
      </w:rPr>
    </w:rPrDefault>
    <w:pPrDefault>
      <w:pPr/>
    </w:pPrDefault>
  </w:docDefaults>
  <w:latentStyles w:defLockedState="0" w:defUIPriority="99" w:defSemiHidden="1" w:defUnhideWhenUsed="1" w:defQFormat="0" w:count="26">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heading 10"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toc 10" w:uiPriority="39" w:semiHidden="0" w:unhideWhenUsed="0" w:qFormat="0"/>
    <w:lsdException w:name="Hyperlink" w:semiHidden="0" w:unhideWhenUsed="0" w:qFormat="0"/>
  </w:latentStyles>
  <w:style w:type="paragraph" w:styleId="Normal" w:default="1">
    <w:name w:val="Normal"/>
    <w:link w:val="Style_3_ch"/>
    <w:uiPriority w:val="0"/>
    <w:qFormat/>
    <w:pPr>
      <w:widowControl/>
      <w:bidi w:val="0"/>
      <w:spacing w:lineRule="auto" w:line="240" w:before="0" w:after="0"/>
      <w:ind w:left="0" w:right="0" w:hanging="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1">
    <w:name w:val="Heading 1"/>
    <w:basedOn w:val="Normal"/>
    <w:link w:val="Style_100_ch"/>
    <w:uiPriority w:val="9"/>
    <w:qFormat/>
    <w:pPr>
      <w:widowControl/>
      <w:bidi w:val="0"/>
      <w:spacing w:before="120" w:after="120"/>
      <w:jc w:val="left"/>
      <w:outlineLvl w:val="0"/>
    </w:pPr>
    <w:rPr>
      <w:rFonts w:ascii="XO Thames" w:hAnsi="XO Thames"/>
      <w:b/>
      <w:sz w:val="32"/>
    </w:rPr>
  </w:style>
  <w:style w:type="paragraph" w:styleId="2">
    <w:name w:val="Heading 2"/>
    <w:basedOn w:val="Normal"/>
    <w:link w:val="Style_183_ch"/>
    <w:uiPriority w:val="9"/>
    <w:qFormat/>
    <w:pPr>
      <w:widowControl/>
      <w:bidi w:val="0"/>
      <w:spacing w:before="120" w:after="120"/>
      <w:jc w:val="left"/>
      <w:outlineLvl w:val="1"/>
    </w:pPr>
    <w:rPr>
      <w:rFonts w:ascii="XO Thames" w:hAnsi="XO Thames"/>
      <w:b/>
      <w:color w:val="00A0FF"/>
      <w:sz w:val="26"/>
    </w:rPr>
  </w:style>
  <w:style w:type="paragraph" w:styleId="3">
    <w:name w:val="Heading 3"/>
    <w:basedOn w:val="Normal"/>
    <w:link w:val="Style_43_ch"/>
    <w:uiPriority w:val="9"/>
    <w:qFormat/>
    <w:pPr>
      <w:widowControl/>
      <w:bidi w:val="0"/>
      <w:jc w:val="left"/>
      <w:outlineLvl w:val="2"/>
    </w:pPr>
    <w:rPr>
      <w:rFonts w:ascii="XO Thames" w:hAnsi="XO Thames"/>
      <w:b/>
      <w:i/>
      <w:color w:val="000000"/>
    </w:rPr>
  </w:style>
  <w:style w:type="paragraph" w:styleId="4">
    <w:name w:val="Heading 4"/>
    <w:basedOn w:val="Normal"/>
    <w:link w:val="Style_179_ch"/>
    <w:uiPriority w:val="9"/>
    <w:qFormat/>
    <w:pPr>
      <w:widowControl/>
      <w:bidi w:val="0"/>
      <w:spacing w:before="120" w:after="120"/>
      <w:jc w:val="left"/>
      <w:outlineLvl w:val="3"/>
    </w:pPr>
    <w:rPr>
      <w:rFonts w:ascii="XO Thames" w:hAnsi="XO Thames"/>
      <w:b/>
      <w:color w:val="595959"/>
      <w:sz w:val="26"/>
    </w:rPr>
  </w:style>
  <w:style w:type="paragraph" w:styleId="5">
    <w:name w:val="Heading 5"/>
    <w:basedOn w:val="Normal"/>
    <w:link w:val="Style_89_ch"/>
    <w:uiPriority w:val="9"/>
    <w:qFormat/>
    <w:pPr>
      <w:widowControl/>
      <w:bidi w:val="0"/>
      <w:spacing w:before="120" w:after="120"/>
      <w:jc w:val="left"/>
      <w:outlineLvl w:val="4"/>
    </w:pPr>
    <w:rPr>
      <w:rFonts w:ascii="XO Thames" w:hAnsi="XO Thames"/>
      <w:b/>
      <w:color w:val="000000"/>
      <w:sz w:val="22"/>
    </w:rPr>
  </w:style>
  <w:style w:type="character" w:styleId="Standard" w:default="1">
    <w:name w:val="Standard"/>
    <w:link w:val="Style_3"/>
    <w:qFormat/>
    <w:rPr>
      <w:rFonts w:ascii="Times New Roman" w:hAnsi="Times New Roman"/>
      <w:color w:val="000000"/>
      <w:sz w:val="24"/>
    </w:rPr>
  </w:style>
  <w:style w:type="character" w:styleId="WW8Num7z2">
    <w:name w:val="WW8Num7z2"/>
    <w:link w:val="Style_4"/>
    <w:qFormat/>
    <w:rPr/>
  </w:style>
  <w:style w:type="character" w:styleId="WW8Num16z3">
    <w:name w:val="WW8Num16z3"/>
    <w:link w:val="Style_5"/>
    <w:qFormat/>
    <w:rPr/>
  </w:style>
  <w:style w:type="character" w:styleId="WW8Num10z3">
    <w:name w:val="WW8Num10z3"/>
    <w:link w:val="Style_6"/>
    <w:qFormat/>
    <w:rPr/>
  </w:style>
  <w:style w:type="character" w:styleId="WW8Num15z6">
    <w:name w:val="WW8Num15z6"/>
    <w:link w:val="Style_7"/>
    <w:qFormat/>
    <w:rPr/>
  </w:style>
  <w:style w:type="character" w:styleId="Contents2">
    <w:name w:val="Contents 2"/>
    <w:link w:val="Style_8"/>
    <w:qFormat/>
    <w:rPr/>
  </w:style>
  <w:style w:type="character" w:styleId="WW8Num4z3">
    <w:name w:val="WW8Num4z3"/>
    <w:link w:val="Style_9"/>
    <w:qFormat/>
    <w:rPr/>
  </w:style>
  <w:style w:type="character" w:styleId="WW8Num3z4">
    <w:name w:val="WW8Num3z4"/>
    <w:link w:val="Style_10"/>
    <w:qFormat/>
    <w:rPr/>
  </w:style>
  <w:style w:type="character" w:styleId="Contents4">
    <w:name w:val="Contents 4"/>
    <w:link w:val="Style_11"/>
    <w:qFormat/>
    <w:rPr/>
  </w:style>
  <w:style w:type="character" w:styleId="11">
    <w:name w:val="Заголовок1"/>
    <w:basedOn w:val="Standard"/>
    <w:link w:val="Style_12"/>
    <w:qFormat/>
    <w:rPr>
      <w:rFonts w:ascii="Liberation Sans" w:hAnsi="Liberation Sans"/>
      <w:sz w:val="28"/>
    </w:rPr>
  </w:style>
  <w:style w:type="character" w:styleId="12">
    <w:name w:val="Указатель1"/>
    <w:basedOn w:val="Standard"/>
    <w:link w:val="Style_14"/>
    <w:qFormat/>
    <w:rPr/>
  </w:style>
  <w:style w:type="character" w:styleId="WW8Num5z2">
    <w:name w:val="WW8Num5z2"/>
    <w:link w:val="Style_15"/>
    <w:qFormat/>
    <w:rPr/>
  </w:style>
  <w:style w:type="character" w:styleId="WW8Num4z2">
    <w:name w:val="WW8Num4z2"/>
    <w:link w:val="Style_16"/>
    <w:qFormat/>
    <w:rPr/>
  </w:style>
  <w:style w:type="character" w:styleId="WW8Num8z8">
    <w:name w:val="WW8Num8z8"/>
    <w:link w:val="Style_17"/>
    <w:qFormat/>
    <w:rPr/>
  </w:style>
  <w:style w:type="character" w:styleId="WW8Num4z7">
    <w:name w:val="WW8Num4z7"/>
    <w:link w:val="Style_18"/>
    <w:qFormat/>
    <w:rPr/>
  </w:style>
  <w:style w:type="character" w:styleId="WW8Num1z8">
    <w:name w:val="WW8Num1z8"/>
    <w:link w:val="Style_19"/>
    <w:qFormat/>
    <w:rPr/>
  </w:style>
  <w:style w:type="character" w:styleId="WW8Num7z1">
    <w:name w:val="WW8Num7z1"/>
    <w:link w:val="Style_20"/>
    <w:qFormat/>
    <w:rPr/>
  </w:style>
  <w:style w:type="character" w:styleId="Contents6">
    <w:name w:val="Contents 6"/>
    <w:link w:val="Style_21"/>
    <w:qFormat/>
    <w:rPr/>
  </w:style>
  <w:style w:type="character" w:styleId="WW8Num15z5">
    <w:name w:val="WW8Num15z5"/>
    <w:link w:val="Style_22"/>
    <w:qFormat/>
    <w:rPr/>
  </w:style>
  <w:style w:type="character" w:styleId="Contents7">
    <w:name w:val="Contents 7"/>
    <w:link w:val="Style_23"/>
    <w:qFormat/>
    <w:rPr/>
  </w:style>
  <w:style w:type="character" w:styleId="WW8Num9z0">
    <w:name w:val="WW8Num9z0"/>
    <w:link w:val="Style_24"/>
    <w:qFormat/>
    <w:rPr/>
  </w:style>
  <w:style w:type="character" w:styleId="WW8Num9z6">
    <w:name w:val="WW8Num9z6"/>
    <w:link w:val="Style_25"/>
    <w:qFormat/>
    <w:rPr/>
  </w:style>
  <w:style w:type="character" w:styleId="WW8Num6z7">
    <w:name w:val="WW8Num6z7"/>
    <w:link w:val="Style_26"/>
    <w:qFormat/>
    <w:rPr/>
  </w:style>
  <w:style w:type="character" w:styleId="WW8Num14z6">
    <w:name w:val="WW8Num14z6"/>
    <w:link w:val="Style_27"/>
    <w:qFormat/>
    <w:rPr/>
  </w:style>
  <w:style w:type="character" w:styleId="WW8Num14z0">
    <w:name w:val="WW8Num14z0"/>
    <w:link w:val="Style_28"/>
    <w:qFormat/>
    <w:rPr/>
  </w:style>
  <w:style w:type="character" w:styleId="WW8Num5z7">
    <w:name w:val="WW8Num5z7"/>
    <w:link w:val="Style_29"/>
    <w:qFormat/>
    <w:rPr/>
  </w:style>
  <w:style w:type="character" w:styleId="WW8Num6z1">
    <w:name w:val="WW8Num6z1"/>
    <w:link w:val="Style_30"/>
    <w:qFormat/>
    <w:rPr/>
  </w:style>
  <w:style w:type="character" w:styleId="WW8Num2z1">
    <w:name w:val="WW8Num2z1"/>
    <w:link w:val="Style_31"/>
    <w:qFormat/>
    <w:rPr/>
  </w:style>
  <w:style w:type="character" w:styleId="WW8Num13z2">
    <w:name w:val="WW8Num13z2"/>
    <w:link w:val="Style_32"/>
    <w:qFormat/>
    <w:rPr/>
  </w:style>
  <w:style w:type="character" w:styleId="WW8Num1z2">
    <w:name w:val="WW8Num1z2"/>
    <w:link w:val="Style_33"/>
    <w:qFormat/>
    <w:rPr/>
  </w:style>
  <w:style w:type="character" w:styleId="WW8Num16z6">
    <w:name w:val="WW8Num16z6"/>
    <w:link w:val="Style_34"/>
    <w:qFormat/>
    <w:rPr/>
  </w:style>
  <w:style w:type="character" w:styleId="WW8Num12z2">
    <w:name w:val="WW8Num12z2"/>
    <w:link w:val="Style_35"/>
    <w:qFormat/>
    <w:rPr/>
  </w:style>
  <w:style w:type="character" w:styleId="WW8Num14z2">
    <w:name w:val="WW8Num14z2"/>
    <w:link w:val="Style_36"/>
    <w:qFormat/>
    <w:rPr/>
  </w:style>
  <w:style w:type="character" w:styleId="WW8Num8z1">
    <w:name w:val="WW8Num8z1"/>
    <w:link w:val="Style_37"/>
    <w:qFormat/>
    <w:rPr/>
  </w:style>
  <w:style w:type="character" w:styleId="WW8Num11z3">
    <w:name w:val="WW8Num11z3"/>
    <w:link w:val="Style_38"/>
    <w:qFormat/>
    <w:rPr/>
  </w:style>
  <w:style w:type="character" w:styleId="WW8Num7z8">
    <w:name w:val="WW8Num7z8"/>
    <w:link w:val="Style_39"/>
    <w:qFormat/>
    <w:rPr/>
  </w:style>
  <w:style w:type="character" w:styleId="Style9">
    <w:name w:val="Текст выноски"/>
    <w:basedOn w:val="Standard"/>
    <w:link w:val="Style_40"/>
    <w:qFormat/>
    <w:rPr>
      <w:rFonts w:ascii="Tahoma" w:hAnsi="Tahoma"/>
      <w:sz w:val="16"/>
    </w:rPr>
  </w:style>
  <w:style w:type="character" w:styleId="WW8Num11z8">
    <w:name w:val="WW8Num11z8"/>
    <w:link w:val="Style_41"/>
    <w:qFormat/>
    <w:rPr/>
  </w:style>
  <w:style w:type="character" w:styleId="WW8Num2z7">
    <w:name w:val="WW8Num2z7"/>
    <w:link w:val="Style_42"/>
    <w:qFormat/>
    <w:rPr/>
  </w:style>
  <w:style w:type="character" w:styleId="Heading3">
    <w:name w:val="Heading 3"/>
    <w:link w:val="Style_43"/>
    <w:qFormat/>
    <w:rPr>
      <w:rFonts w:ascii="XO Thames" w:hAnsi="XO Thames"/>
      <w:b/>
      <w:i/>
      <w:color w:val="000000"/>
    </w:rPr>
  </w:style>
  <w:style w:type="character" w:styleId="WW8Num12z0">
    <w:name w:val="WW8Num12z0"/>
    <w:link w:val="Style_44"/>
    <w:qFormat/>
    <w:rPr>
      <w:rFonts w:ascii="Times New Roman" w:hAnsi="Times New Roman"/>
      <w:b w:val="false"/>
      <w:i w:val="false"/>
      <w:caps w:val="false"/>
      <w:smallCaps w:val="false"/>
      <w:strike w:val="false"/>
      <w:dstrike w:val="false"/>
      <w:color w:val="000000"/>
      <w:spacing w:val="0"/>
      <w:sz w:val="24"/>
      <w:u w:val="none"/>
    </w:rPr>
  </w:style>
  <w:style w:type="character" w:styleId="WW8Num7z4">
    <w:name w:val="WW8Num7z4"/>
    <w:link w:val="Style_45"/>
    <w:qFormat/>
    <w:rPr/>
  </w:style>
  <w:style w:type="character" w:styleId="WW8Num6z2">
    <w:name w:val="WW8Num6z2"/>
    <w:link w:val="Style_46"/>
    <w:qFormat/>
    <w:rPr/>
  </w:style>
  <w:style w:type="character" w:styleId="WW8Num3z6">
    <w:name w:val="WW8Num3z6"/>
    <w:link w:val="Style_47"/>
    <w:qFormat/>
    <w:rPr/>
  </w:style>
  <w:style w:type="character" w:styleId="WW8Num8z3">
    <w:name w:val="WW8Num8z3"/>
    <w:link w:val="Style_48"/>
    <w:qFormat/>
    <w:rPr/>
  </w:style>
  <w:style w:type="character" w:styleId="WW8Num9z4">
    <w:name w:val="WW8Num9z4"/>
    <w:link w:val="Style_49"/>
    <w:qFormat/>
    <w:rPr/>
  </w:style>
  <w:style w:type="character" w:styleId="WW8Num7z6">
    <w:name w:val="WW8Num7z6"/>
    <w:link w:val="Style_50"/>
    <w:qFormat/>
    <w:rPr/>
  </w:style>
  <w:style w:type="character" w:styleId="WW8Num1z7">
    <w:name w:val="WW8Num1z7"/>
    <w:link w:val="Style_51"/>
    <w:qFormat/>
    <w:rPr/>
  </w:style>
  <w:style w:type="character" w:styleId="WW8Num15z2">
    <w:name w:val="WW8Num15z2"/>
    <w:link w:val="Style_52"/>
    <w:qFormat/>
    <w:rPr/>
  </w:style>
  <w:style w:type="character" w:styleId="WW8Num11z0">
    <w:name w:val="WW8Num11z0"/>
    <w:link w:val="Style_53"/>
    <w:qFormat/>
    <w:rPr>
      <w:rFonts w:ascii="Times New Roman" w:hAnsi="Times New Roman"/>
      <w:b w:val="false"/>
      <w:i w:val="false"/>
      <w:caps w:val="false"/>
      <w:smallCaps w:val="false"/>
      <w:strike w:val="false"/>
      <w:dstrike w:val="false"/>
      <w:color w:val="000000"/>
      <w:spacing w:val="0"/>
      <w:sz w:val="24"/>
      <w:u w:val="none"/>
    </w:rPr>
  </w:style>
  <w:style w:type="character" w:styleId="WW8Num12z4">
    <w:name w:val="WW8Num12z4"/>
    <w:link w:val="Style_54"/>
    <w:qFormat/>
    <w:rPr/>
  </w:style>
  <w:style w:type="character" w:styleId="WW8Num12z6">
    <w:name w:val="WW8Num12z6"/>
    <w:link w:val="Style_55"/>
    <w:qFormat/>
    <w:rPr/>
  </w:style>
  <w:style w:type="character" w:styleId="WW8Num16z7">
    <w:name w:val="WW8Num16z7"/>
    <w:link w:val="Style_56"/>
    <w:qFormat/>
    <w:rPr/>
  </w:style>
  <w:style w:type="character" w:styleId="WW8Num6z3">
    <w:name w:val="WW8Num6z3"/>
    <w:link w:val="Style_57"/>
    <w:qFormat/>
    <w:rPr/>
  </w:style>
  <w:style w:type="character" w:styleId="WW8Num13z1">
    <w:name w:val="WW8Num13z1"/>
    <w:link w:val="Style_58"/>
    <w:qFormat/>
    <w:rPr/>
  </w:style>
  <w:style w:type="character" w:styleId="WW8Num2z4">
    <w:name w:val="WW8Num2z4"/>
    <w:link w:val="Style_59"/>
    <w:qFormat/>
    <w:rPr/>
  </w:style>
  <w:style w:type="character" w:styleId="WW8Num14z5">
    <w:name w:val="WW8Num14z5"/>
    <w:link w:val="Style_60"/>
    <w:qFormat/>
    <w:rPr/>
  </w:style>
  <w:style w:type="character" w:styleId="WW8Num5z1">
    <w:name w:val="WW8Num5z1"/>
    <w:link w:val="Style_61"/>
    <w:qFormat/>
    <w:rPr/>
  </w:style>
  <w:style w:type="character" w:styleId="WW8Num9z3">
    <w:name w:val="WW8Num9z3"/>
    <w:link w:val="Style_62"/>
    <w:qFormat/>
    <w:rPr/>
  </w:style>
  <w:style w:type="character" w:styleId="WW8Num15z7">
    <w:name w:val="WW8Num15z7"/>
    <w:link w:val="Style_63"/>
    <w:qFormat/>
    <w:rPr/>
  </w:style>
  <w:style w:type="character" w:styleId="WW8Num8z5">
    <w:name w:val="WW8Num8z5"/>
    <w:link w:val="Style_64"/>
    <w:qFormat/>
    <w:rPr/>
  </w:style>
  <w:style w:type="character" w:styleId="WW8Num16z8">
    <w:name w:val="WW8Num16z8"/>
    <w:link w:val="Style_65"/>
    <w:qFormat/>
    <w:rPr/>
  </w:style>
  <w:style w:type="character" w:styleId="WW8Num5z6">
    <w:name w:val="WW8Num5z6"/>
    <w:link w:val="Style_66"/>
    <w:qFormat/>
    <w:rPr/>
  </w:style>
  <w:style w:type="character" w:styleId="WW8Num10z1">
    <w:name w:val="WW8Num10z1"/>
    <w:link w:val="Style_67"/>
    <w:qFormat/>
    <w:rPr/>
  </w:style>
  <w:style w:type="character" w:styleId="WW8Num9z5">
    <w:name w:val="WW8Num9z5"/>
    <w:link w:val="Style_68"/>
    <w:qFormat/>
    <w:rPr/>
  </w:style>
  <w:style w:type="character" w:styleId="WW8Num10z7">
    <w:name w:val="WW8Num10z7"/>
    <w:link w:val="Style_69"/>
    <w:qFormat/>
    <w:rPr/>
  </w:style>
  <w:style w:type="character" w:styleId="WW8Num8z0">
    <w:name w:val="WW8Num8z0"/>
    <w:link w:val="Style_70"/>
    <w:qFormat/>
    <w:rPr>
      <w:rFonts w:ascii="Times New Roman" w:hAnsi="Times New Roman"/>
      <w:b w:val="false"/>
      <w:i w:val="false"/>
      <w:caps w:val="false"/>
      <w:smallCaps w:val="false"/>
      <w:strike w:val="false"/>
      <w:dstrike w:val="false"/>
      <w:color w:val="000000"/>
      <w:spacing w:val="0"/>
      <w:sz w:val="24"/>
      <w:u w:val="none"/>
    </w:rPr>
  </w:style>
  <w:style w:type="character" w:styleId="WW8Num4z5">
    <w:name w:val="WW8Num4z5"/>
    <w:link w:val="Style_71"/>
    <w:qFormat/>
    <w:rPr/>
  </w:style>
  <w:style w:type="character" w:styleId="WW8Num5z8">
    <w:name w:val="WW8Num5z8"/>
    <w:link w:val="Style_72"/>
    <w:qFormat/>
    <w:rPr/>
  </w:style>
  <w:style w:type="character" w:styleId="WW8Num16z1">
    <w:name w:val="WW8Num16z1"/>
    <w:link w:val="Style_73"/>
    <w:qFormat/>
    <w:rPr/>
  </w:style>
  <w:style w:type="character" w:styleId="Contents3">
    <w:name w:val="Contents 3"/>
    <w:link w:val="Style_74"/>
    <w:qFormat/>
    <w:rPr/>
  </w:style>
  <w:style w:type="character" w:styleId="WW8Num14z1">
    <w:name w:val="WW8Num14z1"/>
    <w:link w:val="Style_75"/>
    <w:qFormat/>
    <w:rPr/>
  </w:style>
  <w:style w:type="character" w:styleId="Style10">
    <w:name w:val="Указатель"/>
    <w:basedOn w:val="Standard"/>
    <w:link w:val="Style_76"/>
    <w:qFormat/>
    <w:rPr/>
  </w:style>
  <w:style w:type="character" w:styleId="WW8Num13z0">
    <w:name w:val="WW8Num13z0"/>
    <w:link w:val="Style_77"/>
    <w:qFormat/>
    <w:rPr>
      <w:rFonts w:ascii="Times New Roman" w:hAnsi="Times New Roman"/>
      <w:b w:val="false"/>
      <w:i w:val="false"/>
      <w:caps w:val="false"/>
      <w:smallCaps w:val="false"/>
      <w:strike w:val="false"/>
      <w:dstrike w:val="false"/>
      <w:color w:val="000000"/>
      <w:spacing w:val="0"/>
      <w:sz w:val="24"/>
      <w:u w:val="none"/>
    </w:rPr>
  </w:style>
  <w:style w:type="character" w:styleId="WW8Num9z8">
    <w:name w:val="WW8Num9z8"/>
    <w:link w:val="Style_78"/>
    <w:qFormat/>
    <w:rPr/>
  </w:style>
  <w:style w:type="character" w:styleId="WW8Num10z8">
    <w:name w:val="WW8Num10z8"/>
    <w:link w:val="Style_79"/>
    <w:qFormat/>
    <w:rPr/>
  </w:style>
  <w:style w:type="character" w:styleId="WW8Num6z5">
    <w:name w:val="WW8Num6z5"/>
    <w:link w:val="Style_80"/>
    <w:qFormat/>
    <w:rPr/>
  </w:style>
  <w:style w:type="character" w:styleId="WW8Num16z5">
    <w:name w:val="WW8Num16z5"/>
    <w:link w:val="Style_81"/>
    <w:qFormat/>
    <w:rPr/>
  </w:style>
  <w:style w:type="character" w:styleId="WW8Num8z2">
    <w:name w:val="WW8Num8z2"/>
    <w:link w:val="Style_82"/>
    <w:qFormat/>
    <w:rPr/>
  </w:style>
  <w:style w:type="character" w:styleId="WW8Num15z1">
    <w:name w:val="WW8Num15z1"/>
    <w:link w:val="Style_83"/>
    <w:qFormat/>
    <w:rPr/>
  </w:style>
  <w:style w:type="character" w:styleId="WW8Num10z0">
    <w:name w:val="WW8Num10z0"/>
    <w:link w:val="Style_84"/>
    <w:qFormat/>
    <w:rPr>
      <w:rFonts w:ascii="Times New Roman" w:hAnsi="Times New Roman"/>
      <w:b w:val="false"/>
      <w:i w:val="false"/>
      <w:caps w:val="false"/>
      <w:smallCaps w:val="false"/>
      <w:strike w:val="false"/>
      <w:dstrike w:val="false"/>
      <w:color w:val="000000"/>
      <w:spacing w:val="0"/>
      <w:sz w:val="24"/>
      <w:u w:val="none"/>
    </w:rPr>
  </w:style>
  <w:style w:type="character" w:styleId="WW8Num10z2">
    <w:name w:val="WW8Num10z2"/>
    <w:link w:val="Style_85"/>
    <w:qFormat/>
    <w:rPr/>
  </w:style>
  <w:style w:type="character" w:styleId="WW8Num1z3">
    <w:name w:val="WW8Num1z3"/>
    <w:link w:val="Style_86"/>
    <w:qFormat/>
    <w:rPr/>
  </w:style>
  <w:style w:type="character" w:styleId="WW8Num1z6">
    <w:name w:val="WW8Num1z6"/>
    <w:link w:val="Style_87"/>
    <w:qFormat/>
    <w:rPr/>
  </w:style>
  <w:style w:type="character" w:styleId="WW8Num3z7">
    <w:name w:val="WW8Num3z7"/>
    <w:link w:val="Style_88"/>
    <w:qFormat/>
    <w:rPr/>
  </w:style>
  <w:style w:type="character" w:styleId="Heading5">
    <w:name w:val="Heading 5"/>
    <w:link w:val="Style_89"/>
    <w:qFormat/>
    <w:rPr>
      <w:rFonts w:ascii="XO Thames" w:hAnsi="XO Thames"/>
      <w:b/>
      <w:color w:val="000000"/>
      <w:sz w:val="22"/>
    </w:rPr>
  </w:style>
  <w:style w:type="character" w:styleId="WW8Num1z1">
    <w:name w:val="WW8Num1z1"/>
    <w:link w:val="Style_90"/>
    <w:qFormat/>
    <w:rPr/>
  </w:style>
  <w:style w:type="character" w:styleId="WW8Num2z8">
    <w:name w:val="WW8Num2z8"/>
    <w:link w:val="Style_91"/>
    <w:qFormat/>
    <w:rPr/>
  </w:style>
  <w:style w:type="character" w:styleId="WW8Num4z8">
    <w:name w:val="WW8Num4z8"/>
    <w:link w:val="Style_92"/>
    <w:qFormat/>
    <w:rPr/>
  </w:style>
  <w:style w:type="character" w:styleId="WW8Num16z2">
    <w:name w:val="WW8Num16z2"/>
    <w:link w:val="Style_93"/>
    <w:qFormat/>
    <w:rPr/>
  </w:style>
  <w:style w:type="character" w:styleId="WW8Num5z0">
    <w:name w:val="WW8Num5z0"/>
    <w:link w:val="Style_94"/>
    <w:qFormat/>
    <w:rPr/>
  </w:style>
  <w:style w:type="character" w:styleId="WW8Num2z3">
    <w:name w:val="WW8Num2z3"/>
    <w:link w:val="Style_95"/>
    <w:qFormat/>
    <w:rPr/>
  </w:style>
  <w:style w:type="character" w:styleId="WW8Num6z6">
    <w:name w:val="WW8Num6z6"/>
    <w:link w:val="Style_96"/>
    <w:qFormat/>
    <w:rPr/>
  </w:style>
  <w:style w:type="character" w:styleId="WW8Num12z8">
    <w:name w:val="WW8Num12z8"/>
    <w:link w:val="Style_97"/>
    <w:qFormat/>
    <w:rPr/>
  </w:style>
  <w:style w:type="character" w:styleId="WW8Num3z3">
    <w:name w:val="WW8Num3z3"/>
    <w:link w:val="Style_98"/>
    <w:qFormat/>
    <w:rPr/>
  </w:style>
  <w:style w:type="character" w:styleId="Style11">
    <w:name w:val="Заголовок"/>
    <w:basedOn w:val="Standard"/>
    <w:link w:val="Style_99"/>
    <w:qFormat/>
    <w:rPr>
      <w:rFonts w:ascii="Liberation Sans" w:hAnsi="Liberation Sans"/>
      <w:sz w:val="28"/>
    </w:rPr>
  </w:style>
  <w:style w:type="character" w:styleId="Heading1">
    <w:name w:val="Heading 1"/>
    <w:link w:val="Style_100"/>
    <w:qFormat/>
    <w:rPr>
      <w:rFonts w:ascii="XO Thames" w:hAnsi="XO Thames"/>
      <w:b/>
      <w:sz w:val="32"/>
    </w:rPr>
  </w:style>
  <w:style w:type="character" w:styleId="WW8Num3z0">
    <w:name w:val="WW8Num3z0"/>
    <w:link w:val="Style_101"/>
    <w:qFormat/>
    <w:rPr>
      <w:rFonts w:ascii="PT Astra Serif" w:hAnsi="PT Astra Serif"/>
      <w:b/>
      <w:color w:val="000000"/>
      <w:sz w:val="26"/>
    </w:rPr>
  </w:style>
  <w:style w:type="character" w:styleId="WW8Num5z5">
    <w:name w:val="WW8Num5z5"/>
    <w:link w:val="Style_102"/>
    <w:qFormat/>
    <w:rPr/>
  </w:style>
  <w:style w:type="character" w:styleId="WW8Num9z2">
    <w:name w:val="WW8Num9z2"/>
    <w:link w:val="Style_103"/>
    <w:qFormat/>
    <w:rPr/>
  </w:style>
  <w:style w:type="character" w:styleId="WW8Num1z5">
    <w:name w:val="WW8Num1z5"/>
    <w:link w:val="Style_104"/>
    <w:qFormat/>
    <w:rPr/>
  </w:style>
  <w:style w:type="character" w:styleId="WW8Num3z5">
    <w:name w:val="WW8Num3z5"/>
    <w:link w:val="Style_105"/>
    <w:qFormat/>
    <w:rPr/>
  </w:style>
  <w:style w:type="character" w:styleId="WW8Num6z8">
    <w:name w:val="WW8Num6z8"/>
    <w:link w:val="Style_106"/>
    <w:qFormat/>
    <w:rPr/>
  </w:style>
  <w:style w:type="character" w:styleId="WW8Num1z0">
    <w:name w:val="WW8Num1z0"/>
    <w:link w:val="Style_107"/>
    <w:qFormat/>
    <w:rPr>
      <w:sz w:val="26"/>
    </w:rPr>
  </w:style>
  <w:style w:type="character" w:styleId="21pt">
    <w:name w:val="Основной текст (2) + Интервал 1 pt"/>
    <w:link w:val="Style_108"/>
    <w:qFormat/>
    <w:rPr>
      <w:rFonts w:ascii="Times New Roman" w:hAnsi="Times New Roman"/>
      <w:b w:val="false"/>
      <w:i w:val="false"/>
      <w:caps w:val="false"/>
      <w:smallCaps w:val="false"/>
      <w:strike w:val="false"/>
      <w:dstrike w:val="false"/>
      <w:color w:val="000000"/>
      <w:spacing w:val="30"/>
      <w:sz w:val="24"/>
      <w:u w:val="single"/>
    </w:rPr>
  </w:style>
  <w:style w:type="character" w:styleId="Style12">
    <w:name w:val="Интернет-ссылка"/>
    <w:link w:val="Style_2"/>
    <w:rPr>
      <w:color w:val="0000FF"/>
      <w:u w:val="single"/>
    </w:rPr>
  </w:style>
  <w:style w:type="character" w:styleId="Footnote">
    <w:name w:val="Footnote"/>
    <w:link w:val="Style_109"/>
    <w:qFormat/>
    <w:rPr>
      <w:rFonts w:ascii="XO Thames" w:hAnsi="XO Thames"/>
      <w:sz w:val="22"/>
    </w:rPr>
  </w:style>
  <w:style w:type="character" w:styleId="WW8Num2z5">
    <w:name w:val="WW8Num2z5"/>
    <w:link w:val="Style_110"/>
    <w:qFormat/>
    <w:rPr/>
  </w:style>
  <w:style w:type="character" w:styleId="WW8Num8z6">
    <w:name w:val="WW8Num8z6"/>
    <w:link w:val="Style_111"/>
    <w:qFormat/>
    <w:rPr/>
  </w:style>
  <w:style w:type="character" w:styleId="WW8Num7z5">
    <w:name w:val="WW8Num7z5"/>
    <w:link w:val="Style_112"/>
    <w:qFormat/>
    <w:rPr/>
  </w:style>
  <w:style w:type="character" w:styleId="WW8Num3z1">
    <w:name w:val="WW8Num3z1"/>
    <w:link w:val="Style_113"/>
    <w:qFormat/>
    <w:rPr/>
  </w:style>
  <w:style w:type="character" w:styleId="WW8Num8z4">
    <w:name w:val="WW8Num8z4"/>
    <w:link w:val="Style_114"/>
    <w:qFormat/>
    <w:rPr/>
  </w:style>
  <w:style w:type="character" w:styleId="Contents1">
    <w:name w:val="Contents 1"/>
    <w:link w:val="Style_115"/>
    <w:qFormat/>
    <w:rPr>
      <w:rFonts w:ascii="XO Thames" w:hAnsi="XO Thames"/>
      <w:b/>
    </w:rPr>
  </w:style>
  <w:style w:type="character" w:styleId="WW8Num7z7">
    <w:name w:val="WW8Num7z7"/>
    <w:link w:val="Style_116"/>
    <w:qFormat/>
    <w:rPr/>
  </w:style>
  <w:style w:type="character" w:styleId="WW8Num13z5">
    <w:name w:val="WW8Num13z5"/>
    <w:link w:val="Style_117"/>
    <w:qFormat/>
    <w:rPr/>
  </w:style>
  <w:style w:type="character" w:styleId="WW8Num13z6">
    <w:name w:val="WW8Num13z6"/>
    <w:link w:val="Style_118"/>
    <w:qFormat/>
    <w:rPr/>
  </w:style>
  <w:style w:type="character" w:styleId="HeaderandFooter">
    <w:name w:val="Header and Footer"/>
    <w:link w:val="Style_119"/>
    <w:qFormat/>
    <w:rPr>
      <w:rFonts w:ascii="XO Thames" w:hAnsi="XO Thames"/>
      <w:sz w:val="20"/>
    </w:rPr>
  </w:style>
  <w:style w:type="character" w:styleId="WW8Num7z0">
    <w:name w:val="WW8Num7z0"/>
    <w:link w:val="Style_120"/>
    <w:qFormat/>
    <w:rPr/>
  </w:style>
  <w:style w:type="character" w:styleId="Style13">
    <w:name w:val="Содержимое таблицы"/>
    <w:basedOn w:val="Standard"/>
    <w:link w:val="Style_121"/>
    <w:qFormat/>
    <w:rPr/>
  </w:style>
  <w:style w:type="character" w:styleId="ConsPlusNormal">
    <w:name w:val="ConsPlusNormal"/>
    <w:link w:val="Style_122"/>
    <w:qFormat/>
    <w:rPr>
      <w:rFonts w:ascii="Arial" w:hAnsi="Arial"/>
      <w:color w:val="000000"/>
      <w:sz w:val="20"/>
    </w:rPr>
  </w:style>
  <w:style w:type="character" w:styleId="WW8Num7z3">
    <w:name w:val="WW8Num7z3"/>
    <w:link w:val="Style_123"/>
    <w:qFormat/>
    <w:rPr/>
  </w:style>
  <w:style w:type="character" w:styleId="Style14">
    <w:name w:val="Текст выноски Знак"/>
    <w:link w:val="Style_124"/>
    <w:qFormat/>
    <w:rPr>
      <w:rFonts w:ascii="Tahoma" w:hAnsi="Tahoma"/>
      <w:sz w:val="16"/>
    </w:rPr>
  </w:style>
  <w:style w:type="character" w:styleId="WW8Num10z4">
    <w:name w:val="WW8Num10z4"/>
    <w:link w:val="Style_125"/>
    <w:qFormat/>
    <w:rPr/>
  </w:style>
  <w:style w:type="character" w:styleId="WW8Num2z0">
    <w:name w:val="WW8Num2z0"/>
    <w:link w:val="Style_126"/>
    <w:qFormat/>
    <w:rPr>
      <w:sz w:val="24"/>
    </w:rPr>
  </w:style>
  <w:style w:type="character" w:styleId="WW8Num6z0">
    <w:name w:val="WW8Num6z0"/>
    <w:link w:val="Style_127"/>
    <w:qFormat/>
    <w:rPr/>
  </w:style>
  <w:style w:type="character" w:styleId="Contents9">
    <w:name w:val="Contents 9"/>
    <w:link w:val="Style_128"/>
    <w:qFormat/>
    <w:rPr/>
  </w:style>
  <w:style w:type="character" w:styleId="WW8Num11z2">
    <w:name w:val="WW8Num11z2"/>
    <w:link w:val="Style_129"/>
    <w:qFormat/>
    <w:rPr/>
  </w:style>
  <w:style w:type="character" w:styleId="WW8Num14z8">
    <w:name w:val="WW8Num14z8"/>
    <w:link w:val="Style_130"/>
    <w:qFormat/>
    <w:rPr/>
  </w:style>
  <w:style w:type="character" w:styleId="WW8Num8z7">
    <w:name w:val="WW8Num8z7"/>
    <w:link w:val="Style_131"/>
    <w:qFormat/>
    <w:rPr/>
  </w:style>
  <w:style w:type="character" w:styleId="Textbody">
    <w:name w:val="Text body"/>
    <w:basedOn w:val="Standard"/>
    <w:link w:val="Style_13"/>
    <w:qFormat/>
    <w:rPr/>
  </w:style>
  <w:style w:type="character" w:styleId="ConsNormal">
    <w:name w:val="ConsNormal"/>
    <w:link w:val="Style_132"/>
    <w:qFormat/>
    <w:rPr>
      <w:rFonts w:ascii="Arial" w:hAnsi="Arial"/>
      <w:color w:val="000000"/>
      <w:sz w:val="18"/>
    </w:rPr>
  </w:style>
  <w:style w:type="character" w:styleId="WW8Num2z2">
    <w:name w:val="WW8Num2z2"/>
    <w:link w:val="Style_133"/>
    <w:qFormat/>
    <w:rPr/>
  </w:style>
  <w:style w:type="character" w:styleId="WW8Num14z4">
    <w:name w:val="WW8Num14z4"/>
    <w:link w:val="Style_134"/>
    <w:qFormat/>
    <w:rPr/>
  </w:style>
  <w:style w:type="character" w:styleId="Contents8">
    <w:name w:val="Contents 8"/>
    <w:link w:val="Style_135"/>
    <w:qFormat/>
    <w:rPr/>
  </w:style>
  <w:style w:type="character" w:styleId="Style15">
    <w:name w:val="Основной шрифт абзаца"/>
    <w:link w:val="Style_136"/>
    <w:qFormat/>
    <w:rPr/>
  </w:style>
  <w:style w:type="character" w:styleId="WW8Num11z7">
    <w:name w:val="WW8Num11z7"/>
    <w:link w:val="Style_137"/>
    <w:qFormat/>
    <w:rPr/>
  </w:style>
  <w:style w:type="character" w:styleId="WW8Num11z6">
    <w:name w:val="WW8Num11z6"/>
    <w:link w:val="Style_138"/>
    <w:qFormat/>
    <w:rPr/>
  </w:style>
  <w:style w:type="character" w:styleId="WW8Num5z3">
    <w:name w:val="WW8Num5z3"/>
    <w:link w:val="Style_139"/>
    <w:qFormat/>
    <w:rPr/>
  </w:style>
  <w:style w:type="character" w:styleId="Caption">
    <w:name w:val="caption"/>
    <w:basedOn w:val="Standard"/>
    <w:link w:val="Style_140"/>
    <w:qFormat/>
    <w:rPr>
      <w:i/>
      <w:sz w:val="24"/>
    </w:rPr>
  </w:style>
  <w:style w:type="character" w:styleId="WW8Num11z5">
    <w:name w:val="WW8Num11z5"/>
    <w:link w:val="Style_141"/>
    <w:qFormat/>
    <w:rPr/>
  </w:style>
  <w:style w:type="character" w:styleId="WW8Num9z1">
    <w:name w:val="WW8Num9z1"/>
    <w:link w:val="Style_142"/>
    <w:qFormat/>
    <w:rPr/>
  </w:style>
  <w:style w:type="character" w:styleId="WW8Num15z8">
    <w:name w:val="WW8Num15z8"/>
    <w:link w:val="Style_143"/>
    <w:qFormat/>
    <w:rPr/>
  </w:style>
  <w:style w:type="character" w:styleId="WW8Num10z6">
    <w:name w:val="WW8Num10z6"/>
    <w:link w:val="Style_144"/>
    <w:qFormat/>
    <w:rPr/>
  </w:style>
  <w:style w:type="character" w:styleId="WW8Num9z7">
    <w:name w:val="WW8Num9z7"/>
    <w:link w:val="Style_145"/>
    <w:qFormat/>
    <w:rPr/>
  </w:style>
  <w:style w:type="character" w:styleId="WW8Num2z6">
    <w:name w:val="WW8Num2z6"/>
    <w:link w:val="Style_146"/>
    <w:qFormat/>
    <w:rPr/>
  </w:style>
  <w:style w:type="character" w:styleId="WW8Num6z4">
    <w:name w:val="WW8Num6z4"/>
    <w:link w:val="Style_147"/>
    <w:qFormat/>
    <w:rPr/>
  </w:style>
  <w:style w:type="character" w:styleId="WW8Num16z4">
    <w:name w:val="WW8Num16z4"/>
    <w:link w:val="Style_148"/>
    <w:qFormat/>
    <w:rPr/>
  </w:style>
  <w:style w:type="character" w:styleId="List">
    <w:name w:val="List"/>
    <w:basedOn w:val="Textbody"/>
    <w:link w:val="Style_149"/>
    <w:qFormat/>
    <w:rPr/>
  </w:style>
  <w:style w:type="character" w:styleId="13">
    <w:name w:val="Основной шрифт абзаца1"/>
    <w:link w:val="Style_150"/>
    <w:qFormat/>
    <w:rPr/>
  </w:style>
  <w:style w:type="character" w:styleId="WW8Num3z8">
    <w:name w:val="WW8Num3z8"/>
    <w:link w:val="Style_151"/>
    <w:qFormat/>
    <w:rPr/>
  </w:style>
  <w:style w:type="character" w:styleId="WW8Num4z1">
    <w:name w:val="WW8Num4z1"/>
    <w:link w:val="Style_152"/>
    <w:qFormat/>
    <w:rPr/>
  </w:style>
  <w:style w:type="character" w:styleId="Contents5">
    <w:name w:val="Contents 5"/>
    <w:link w:val="Style_153"/>
    <w:qFormat/>
    <w:rPr/>
  </w:style>
  <w:style w:type="character" w:styleId="WW8Num10z5">
    <w:name w:val="WW8Num10z5"/>
    <w:link w:val="Style_154"/>
    <w:qFormat/>
    <w:rPr/>
  </w:style>
  <w:style w:type="character" w:styleId="WW8Num4z6">
    <w:name w:val="WW8Num4z6"/>
    <w:link w:val="Style_155"/>
    <w:qFormat/>
    <w:rPr/>
  </w:style>
  <w:style w:type="character" w:styleId="WW8Num3z2">
    <w:name w:val="WW8Num3z2"/>
    <w:link w:val="Style_156"/>
    <w:qFormat/>
    <w:rPr/>
  </w:style>
  <w:style w:type="character" w:styleId="WW8Num13z3">
    <w:name w:val="WW8Num13z3"/>
    <w:link w:val="Style_157"/>
    <w:qFormat/>
    <w:rPr/>
  </w:style>
  <w:style w:type="character" w:styleId="WW8Num13z7">
    <w:name w:val="WW8Num13z7"/>
    <w:link w:val="Style_158"/>
    <w:qFormat/>
    <w:rPr/>
  </w:style>
  <w:style w:type="character" w:styleId="Style16">
    <w:name w:val="Название объекта"/>
    <w:basedOn w:val="Standard"/>
    <w:link w:val="Style_159"/>
    <w:qFormat/>
    <w:rPr>
      <w:i/>
      <w:sz w:val="24"/>
    </w:rPr>
  </w:style>
  <w:style w:type="character" w:styleId="WW8Num11z1">
    <w:name w:val="WW8Num11z1"/>
    <w:link w:val="Style_160"/>
    <w:qFormat/>
    <w:rPr/>
  </w:style>
  <w:style w:type="character" w:styleId="WW8Num13z8">
    <w:name w:val="WW8Num13z8"/>
    <w:link w:val="Style_161"/>
    <w:qFormat/>
    <w:rPr/>
  </w:style>
  <w:style w:type="character" w:styleId="WW8Num14z3">
    <w:name w:val="WW8Num14z3"/>
    <w:link w:val="Style_162"/>
    <w:qFormat/>
    <w:rPr/>
  </w:style>
  <w:style w:type="character" w:styleId="WW8Num11z4">
    <w:name w:val="WW8Num11z4"/>
    <w:link w:val="Style_163"/>
    <w:qFormat/>
    <w:rPr/>
  </w:style>
  <w:style w:type="character" w:styleId="WW8Num12z3">
    <w:name w:val="WW8Num12z3"/>
    <w:link w:val="Style_164"/>
    <w:qFormat/>
    <w:rPr/>
  </w:style>
  <w:style w:type="character" w:styleId="WW8Num4z4">
    <w:name w:val="WW8Num4z4"/>
    <w:link w:val="Style_165"/>
    <w:qFormat/>
    <w:rPr/>
  </w:style>
  <w:style w:type="character" w:styleId="WW8Num12z7">
    <w:name w:val="WW8Num12z7"/>
    <w:link w:val="Style_166"/>
    <w:qFormat/>
    <w:rPr/>
  </w:style>
  <w:style w:type="character" w:styleId="WW8Num12z1">
    <w:name w:val="WW8Num12z1"/>
    <w:link w:val="Style_167"/>
    <w:qFormat/>
    <w:rPr/>
  </w:style>
  <w:style w:type="character" w:styleId="WW8Num16z0">
    <w:name w:val="WW8Num16z0"/>
    <w:link w:val="Style_168"/>
    <w:qFormat/>
    <w:rPr>
      <w:rFonts w:ascii="Times New Roman" w:hAnsi="Times New Roman"/>
      <w:b w:val="false"/>
      <w:i w:val="false"/>
      <w:caps w:val="false"/>
      <w:smallCaps w:val="false"/>
      <w:strike w:val="false"/>
      <w:dstrike w:val="false"/>
      <w:color w:val="000000"/>
      <w:spacing w:val="0"/>
      <w:sz w:val="24"/>
      <w:u w:val="none"/>
    </w:rPr>
  </w:style>
  <w:style w:type="character" w:styleId="Subtitle">
    <w:name w:val="Subtitle"/>
    <w:link w:val="Style_169"/>
    <w:qFormat/>
    <w:rPr>
      <w:rFonts w:ascii="XO Thames" w:hAnsi="XO Thames"/>
      <w:i/>
      <w:color w:val="616161"/>
      <w:sz w:val="24"/>
    </w:rPr>
  </w:style>
  <w:style w:type="character" w:styleId="WW8Num14z7">
    <w:name w:val="WW8Num14z7"/>
    <w:link w:val="Style_170"/>
    <w:qFormat/>
    <w:rPr/>
  </w:style>
  <w:style w:type="character" w:styleId="WW8Num4z0">
    <w:name w:val="WW8Num4z0"/>
    <w:link w:val="Style_171"/>
    <w:qFormat/>
    <w:rPr/>
  </w:style>
  <w:style w:type="character" w:styleId="Style17">
    <w:name w:val="Заголовок таблицы"/>
    <w:basedOn w:val="Style13"/>
    <w:link w:val="Style_172"/>
    <w:qFormat/>
    <w:rPr>
      <w:b/>
    </w:rPr>
  </w:style>
  <w:style w:type="character" w:styleId="Toc10">
    <w:name w:val="toc 10"/>
    <w:link w:val="Style_173"/>
    <w:qFormat/>
    <w:rPr/>
  </w:style>
  <w:style w:type="character" w:styleId="WW8Num5z4">
    <w:name w:val="WW8Num5z4"/>
    <w:link w:val="Style_174"/>
    <w:qFormat/>
    <w:rPr/>
  </w:style>
  <w:style w:type="character" w:styleId="WW8Num15z0">
    <w:name w:val="WW8Num15z0"/>
    <w:link w:val="Style_175"/>
    <w:qFormat/>
    <w:rPr>
      <w:rFonts w:ascii="Times New Roman" w:hAnsi="Times New Roman"/>
      <w:b w:val="false"/>
      <w:i w:val="false"/>
      <w:caps w:val="false"/>
      <w:smallCaps w:val="false"/>
      <w:strike w:val="false"/>
      <w:dstrike w:val="false"/>
      <w:color w:val="000000"/>
      <w:spacing w:val="0"/>
      <w:sz w:val="24"/>
      <w:u w:val="none"/>
    </w:rPr>
  </w:style>
  <w:style w:type="character" w:styleId="WW8Num15z4">
    <w:name w:val="WW8Num15z4"/>
    <w:link w:val="Style_176"/>
    <w:qFormat/>
    <w:rPr/>
  </w:style>
  <w:style w:type="character" w:styleId="WW8Num1z4">
    <w:name w:val="WW8Num1z4"/>
    <w:link w:val="Style_177"/>
    <w:qFormat/>
    <w:rPr/>
  </w:style>
  <w:style w:type="character" w:styleId="Title">
    <w:name w:val="Title"/>
    <w:link w:val="Style_178"/>
    <w:qFormat/>
    <w:rPr>
      <w:rFonts w:ascii="XO Thames" w:hAnsi="XO Thames"/>
      <w:b/>
      <w:sz w:val="52"/>
    </w:rPr>
  </w:style>
  <w:style w:type="character" w:styleId="Heading4">
    <w:name w:val="Heading 4"/>
    <w:link w:val="Style_179"/>
    <w:qFormat/>
    <w:rPr>
      <w:rFonts w:ascii="XO Thames" w:hAnsi="XO Thames"/>
      <w:b/>
      <w:color w:val="595959"/>
      <w:sz w:val="26"/>
    </w:rPr>
  </w:style>
  <w:style w:type="character" w:styleId="WW8Num13z4">
    <w:name w:val="WW8Num13z4"/>
    <w:link w:val="Style_180"/>
    <w:qFormat/>
    <w:rPr/>
  </w:style>
  <w:style w:type="character" w:styleId="21">
    <w:name w:val="Основной текст (2)"/>
    <w:link w:val="Style_181"/>
    <w:qFormat/>
    <w:rPr>
      <w:rFonts w:ascii="Times New Roman" w:hAnsi="Times New Roman"/>
      <w:b w:val="false"/>
      <w:i w:val="false"/>
      <w:caps w:val="false"/>
      <w:smallCaps w:val="false"/>
      <w:strike w:val="false"/>
      <w:dstrike w:val="false"/>
      <w:color w:val="000000"/>
      <w:spacing w:val="0"/>
      <w:sz w:val="24"/>
      <w:u w:val="single"/>
    </w:rPr>
  </w:style>
  <w:style w:type="character" w:styleId="DefaultParagraphFont">
    <w:name w:val="Default Paragraph Font"/>
    <w:link w:val="Style_182"/>
    <w:qFormat/>
    <w:rPr/>
  </w:style>
  <w:style w:type="character" w:styleId="Heading2">
    <w:name w:val="Heading 2"/>
    <w:link w:val="Style_183"/>
    <w:qFormat/>
    <w:rPr>
      <w:rFonts w:ascii="XO Thames" w:hAnsi="XO Thames"/>
      <w:b/>
      <w:color w:val="00A0FF"/>
      <w:sz w:val="26"/>
    </w:rPr>
  </w:style>
  <w:style w:type="character" w:styleId="WW8Num12z5">
    <w:name w:val="WW8Num12z5"/>
    <w:link w:val="Style_184"/>
    <w:qFormat/>
    <w:rPr/>
  </w:style>
  <w:style w:type="character" w:styleId="22">
    <w:name w:val="Основной текст (2)_"/>
    <w:link w:val="Style_185"/>
    <w:qFormat/>
    <w:rPr>
      <w:rFonts w:ascii="Times New Roman" w:hAnsi="Times New Roman"/>
      <w:b w:val="false"/>
      <w:i w:val="false"/>
      <w:caps w:val="false"/>
      <w:smallCaps w:val="false"/>
      <w:strike w:val="false"/>
      <w:dstrike w:val="false"/>
      <w:u w:val="none"/>
    </w:rPr>
  </w:style>
  <w:style w:type="character" w:styleId="WW8Num15z3">
    <w:name w:val="WW8Num15z3"/>
    <w:link w:val="Style_186"/>
    <w:qFormat/>
    <w:rPr/>
  </w:style>
  <w:style w:type="character" w:styleId="ListLabel1">
    <w:name w:val="ListLabel 1"/>
    <w:qFormat/>
    <w:rPr>
      <w:rFonts w:ascii="PT Astra Serif" w:hAnsi="PT Astra Serif"/>
      <w:sz w:val="26"/>
    </w:rPr>
  </w:style>
  <w:style w:type="character" w:styleId="ListLabel2">
    <w:name w:val="ListLabel 2"/>
    <w:qFormat/>
    <w:rPr>
      <w:rFonts w:ascii="PT Astra Serif" w:hAnsi="PT Astra Serif"/>
      <w:sz w:val="26"/>
    </w:rPr>
  </w:style>
  <w:style w:type="paragraph" w:styleId="Style18">
    <w:name w:val="Заголовок"/>
    <w:basedOn w:val="Normal"/>
    <w:next w:val="Style19"/>
    <w:link w:val="Style_99_ch"/>
    <w:qFormat/>
    <w:pPr>
      <w:keepNext w:val="true"/>
      <w:spacing w:before="240" w:after="120"/>
    </w:pPr>
    <w:rPr>
      <w:rFonts w:ascii="Liberation Sans" w:hAnsi="Liberation Sans"/>
      <w:sz w:val="28"/>
    </w:rPr>
  </w:style>
  <w:style w:type="paragraph" w:styleId="Style19">
    <w:name w:val="Body Text"/>
    <w:basedOn w:val="Normal"/>
    <w:link w:val="Style_13_ch"/>
    <w:pPr>
      <w:spacing w:lineRule="auto" w:line="276" w:before="0" w:after="140"/>
    </w:pPr>
    <w:rPr/>
  </w:style>
  <w:style w:type="paragraph" w:styleId="Style20">
    <w:name w:val="List"/>
    <w:basedOn w:val="Style19"/>
    <w:link w:val="Style_149_ch"/>
    <w:pPr/>
    <w:rPr/>
  </w:style>
  <w:style w:type="paragraph" w:styleId="Style21">
    <w:name w:val="Caption"/>
    <w:basedOn w:val="Normal"/>
    <w:qFormat/>
    <w:pPr>
      <w:suppressLineNumbers/>
      <w:spacing w:before="120" w:after="120"/>
    </w:pPr>
    <w:rPr>
      <w:rFonts w:cs="Lohit Devanagari"/>
      <w:i/>
      <w:iCs/>
      <w:sz w:val="24"/>
      <w:szCs w:val="24"/>
    </w:rPr>
  </w:style>
  <w:style w:type="paragraph" w:styleId="Style22">
    <w:name w:val="Указатель"/>
    <w:basedOn w:val="Normal"/>
    <w:link w:val="Style_76_ch"/>
    <w:qFormat/>
    <w:pPr/>
    <w:rPr/>
  </w:style>
  <w:style w:type="paragraph" w:styleId="WW8Num7z21">
    <w:name w:val="WW8Num7z2"/>
    <w:link w:val="Style_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31">
    <w:name w:val="WW8Num16z3"/>
    <w:link w:val="Style_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0z31">
    <w:name w:val="WW8Num10z3"/>
    <w:link w:val="Style_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5z61">
    <w:name w:val="WW8Num15z6"/>
    <w:link w:val="Style_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23">
    <w:name w:val="TOC 2"/>
    <w:basedOn w:val="Normal"/>
    <w:link w:val="Style_8_ch"/>
    <w:uiPriority w:val="39"/>
    <w:pPr>
      <w:widowControl/>
      <w:bidi w:val="0"/>
      <w:ind w:left="200" w:right="0" w:hanging="0"/>
      <w:jc w:val="left"/>
    </w:pPr>
    <w:rPr/>
  </w:style>
  <w:style w:type="paragraph" w:styleId="WW8Num4z31">
    <w:name w:val="WW8Num4z3"/>
    <w:link w:val="Style_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41">
    <w:name w:val="WW8Num3z4"/>
    <w:link w:val="Style_1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41">
    <w:name w:val="TOC 4"/>
    <w:basedOn w:val="Normal"/>
    <w:link w:val="Style_11_ch"/>
    <w:uiPriority w:val="39"/>
    <w:pPr>
      <w:widowControl/>
      <w:bidi w:val="0"/>
      <w:ind w:left="600" w:right="0" w:hanging="0"/>
      <w:jc w:val="left"/>
    </w:pPr>
    <w:rPr/>
  </w:style>
  <w:style w:type="paragraph" w:styleId="14">
    <w:name w:val="Заголовок1"/>
    <w:basedOn w:val="Normal"/>
    <w:link w:val="Style_12_ch"/>
    <w:qFormat/>
    <w:pPr>
      <w:keepNext w:val="true"/>
      <w:spacing w:before="240" w:after="120"/>
    </w:pPr>
    <w:rPr>
      <w:rFonts w:ascii="Liberation Sans" w:hAnsi="Liberation Sans"/>
      <w:sz w:val="28"/>
    </w:rPr>
  </w:style>
  <w:style w:type="paragraph" w:styleId="15">
    <w:name w:val="Указатель1"/>
    <w:basedOn w:val="Normal"/>
    <w:link w:val="Style_14_ch"/>
    <w:qFormat/>
    <w:pPr/>
    <w:rPr/>
  </w:style>
  <w:style w:type="paragraph" w:styleId="WW8Num5z21">
    <w:name w:val="WW8Num5z2"/>
    <w:link w:val="Style_1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4z21">
    <w:name w:val="WW8Num4z2"/>
    <w:link w:val="Style_1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81">
    <w:name w:val="WW8Num8z8"/>
    <w:link w:val="Style_1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4z71">
    <w:name w:val="WW8Num4z7"/>
    <w:link w:val="Style_1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81">
    <w:name w:val="WW8Num1z8"/>
    <w:link w:val="Style_1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7z11">
    <w:name w:val="WW8Num7z1"/>
    <w:link w:val="Style_2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6">
    <w:name w:val="TOC 6"/>
    <w:basedOn w:val="Normal"/>
    <w:link w:val="Style_21_ch"/>
    <w:uiPriority w:val="39"/>
    <w:pPr>
      <w:widowControl/>
      <w:bidi w:val="0"/>
      <w:ind w:left="1000" w:right="0" w:hanging="0"/>
      <w:jc w:val="left"/>
    </w:pPr>
    <w:rPr/>
  </w:style>
  <w:style w:type="paragraph" w:styleId="WW8Num15z51">
    <w:name w:val="WW8Num15z5"/>
    <w:link w:val="Style_2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7">
    <w:name w:val="TOC 7"/>
    <w:basedOn w:val="Normal"/>
    <w:link w:val="Style_23_ch"/>
    <w:uiPriority w:val="39"/>
    <w:pPr>
      <w:widowControl/>
      <w:bidi w:val="0"/>
      <w:ind w:left="1200" w:right="0" w:hanging="0"/>
      <w:jc w:val="left"/>
    </w:pPr>
    <w:rPr/>
  </w:style>
  <w:style w:type="paragraph" w:styleId="WW8Num9z01">
    <w:name w:val="WW8Num9z0"/>
    <w:link w:val="Style_2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9z61">
    <w:name w:val="WW8Num9z6"/>
    <w:link w:val="Style_2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71">
    <w:name w:val="WW8Num6z7"/>
    <w:link w:val="Style_2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4z61">
    <w:name w:val="WW8Num14z6"/>
    <w:link w:val="Style_2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4z01">
    <w:name w:val="WW8Num14z0"/>
    <w:link w:val="Style_2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5z71">
    <w:name w:val="WW8Num5z7"/>
    <w:link w:val="Style_2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11">
    <w:name w:val="WW8Num6z1"/>
    <w:link w:val="Style_3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2z11">
    <w:name w:val="WW8Num2z1"/>
    <w:link w:val="Style_3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3z21">
    <w:name w:val="WW8Num13z2"/>
    <w:link w:val="Style_3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21">
    <w:name w:val="WW8Num1z2"/>
    <w:link w:val="Style_3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61">
    <w:name w:val="WW8Num16z6"/>
    <w:link w:val="Style_3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2z21">
    <w:name w:val="WW8Num12z2"/>
    <w:link w:val="Style_3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4z21">
    <w:name w:val="WW8Num14z2"/>
    <w:link w:val="Style_3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11">
    <w:name w:val="WW8Num8z1"/>
    <w:link w:val="Style_3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1z31">
    <w:name w:val="WW8Num11z3"/>
    <w:link w:val="Style_3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7z81">
    <w:name w:val="WW8Num7z8"/>
    <w:link w:val="Style_3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Style23">
    <w:name w:val="Текст выноски"/>
    <w:basedOn w:val="Normal"/>
    <w:link w:val="Style_40_ch"/>
    <w:qFormat/>
    <w:pPr/>
    <w:rPr>
      <w:rFonts w:ascii="Tahoma" w:hAnsi="Tahoma"/>
      <w:sz w:val="16"/>
    </w:rPr>
  </w:style>
  <w:style w:type="paragraph" w:styleId="WW8Num11z81">
    <w:name w:val="WW8Num11z8"/>
    <w:link w:val="Style_4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2z71">
    <w:name w:val="WW8Num2z7"/>
    <w:link w:val="Style_4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2z01">
    <w:name w:val="WW8Num12z0"/>
    <w:link w:val="Style_44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none"/>
      <w:lang w:val="ru-RU" w:eastAsia="zh-CN" w:bidi="hi-IN"/>
    </w:rPr>
  </w:style>
  <w:style w:type="paragraph" w:styleId="WW8Num7z41">
    <w:name w:val="WW8Num7z4"/>
    <w:link w:val="Style_4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21">
    <w:name w:val="WW8Num6z2"/>
    <w:link w:val="Style_4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61">
    <w:name w:val="WW8Num3z6"/>
    <w:link w:val="Style_4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31">
    <w:name w:val="WW8Num8z3"/>
    <w:link w:val="Style_4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9z41">
    <w:name w:val="WW8Num9z4"/>
    <w:link w:val="Style_4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7z61">
    <w:name w:val="WW8Num7z6"/>
    <w:link w:val="Style_5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71">
    <w:name w:val="WW8Num1z7"/>
    <w:link w:val="Style_5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5z21">
    <w:name w:val="WW8Num15z2"/>
    <w:link w:val="Style_5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1z01">
    <w:name w:val="WW8Num11z0"/>
    <w:link w:val="Style_53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none"/>
      <w:lang w:val="ru-RU" w:eastAsia="zh-CN" w:bidi="hi-IN"/>
    </w:rPr>
  </w:style>
  <w:style w:type="paragraph" w:styleId="WW8Num12z41">
    <w:name w:val="WW8Num12z4"/>
    <w:link w:val="Style_5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2z61">
    <w:name w:val="WW8Num12z6"/>
    <w:link w:val="Style_5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71">
    <w:name w:val="WW8Num16z7"/>
    <w:link w:val="Style_5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31">
    <w:name w:val="WW8Num6z3"/>
    <w:link w:val="Style_5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3z11">
    <w:name w:val="WW8Num13z1"/>
    <w:link w:val="Style_5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2z41">
    <w:name w:val="WW8Num2z4"/>
    <w:link w:val="Style_5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4z51">
    <w:name w:val="WW8Num14z5"/>
    <w:link w:val="Style_6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5z11">
    <w:name w:val="WW8Num5z1"/>
    <w:link w:val="Style_6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9z31">
    <w:name w:val="WW8Num9z3"/>
    <w:link w:val="Style_6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5z71">
    <w:name w:val="WW8Num15z7"/>
    <w:link w:val="Style_6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51">
    <w:name w:val="WW8Num8z5"/>
    <w:link w:val="Style_6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81">
    <w:name w:val="WW8Num16z8"/>
    <w:link w:val="Style_6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5z61">
    <w:name w:val="WW8Num5z6"/>
    <w:link w:val="Style_6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0z11">
    <w:name w:val="WW8Num10z1"/>
    <w:link w:val="Style_6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9z51">
    <w:name w:val="WW8Num9z5"/>
    <w:link w:val="Style_6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0z71">
    <w:name w:val="WW8Num10z7"/>
    <w:link w:val="Style_6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01">
    <w:name w:val="WW8Num8z0"/>
    <w:link w:val="Style_70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none"/>
      <w:lang w:val="ru-RU" w:eastAsia="zh-CN" w:bidi="hi-IN"/>
    </w:rPr>
  </w:style>
  <w:style w:type="paragraph" w:styleId="WW8Num4z51">
    <w:name w:val="WW8Num4z5"/>
    <w:link w:val="Style_7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5z81">
    <w:name w:val="WW8Num5z8"/>
    <w:link w:val="Style_7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11">
    <w:name w:val="WW8Num16z1"/>
    <w:link w:val="Style_7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31">
    <w:name w:val="TOC 3"/>
    <w:basedOn w:val="Normal"/>
    <w:link w:val="Style_74_ch"/>
    <w:uiPriority w:val="39"/>
    <w:pPr>
      <w:widowControl/>
      <w:bidi w:val="0"/>
      <w:ind w:left="400" w:right="0" w:hanging="0"/>
      <w:jc w:val="left"/>
    </w:pPr>
    <w:rPr/>
  </w:style>
  <w:style w:type="paragraph" w:styleId="WW8Num14z11">
    <w:name w:val="WW8Num14z1"/>
    <w:link w:val="Style_7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3z01">
    <w:name w:val="WW8Num13z0"/>
    <w:link w:val="Style_77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none"/>
      <w:lang w:val="ru-RU" w:eastAsia="zh-CN" w:bidi="hi-IN"/>
    </w:rPr>
  </w:style>
  <w:style w:type="paragraph" w:styleId="WW8Num9z81">
    <w:name w:val="WW8Num9z8"/>
    <w:link w:val="Style_7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0z81">
    <w:name w:val="WW8Num10z8"/>
    <w:link w:val="Style_7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51">
    <w:name w:val="WW8Num6z5"/>
    <w:link w:val="Style_8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51">
    <w:name w:val="WW8Num16z5"/>
    <w:link w:val="Style_8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21">
    <w:name w:val="WW8Num8z2"/>
    <w:link w:val="Style_8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5z11">
    <w:name w:val="WW8Num15z1"/>
    <w:link w:val="Style_8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0z01">
    <w:name w:val="WW8Num10z0"/>
    <w:link w:val="Style_84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none"/>
      <w:lang w:val="ru-RU" w:eastAsia="zh-CN" w:bidi="hi-IN"/>
    </w:rPr>
  </w:style>
  <w:style w:type="paragraph" w:styleId="WW8Num10z21">
    <w:name w:val="WW8Num10z2"/>
    <w:link w:val="Style_8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31">
    <w:name w:val="WW8Num1z3"/>
    <w:link w:val="Style_8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61">
    <w:name w:val="WW8Num1z6"/>
    <w:link w:val="Style_8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71">
    <w:name w:val="WW8Num3z7"/>
    <w:link w:val="Style_8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11">
    <w:name w:val="WW8Num1z1"/>
    <w:link w:val="Style_9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2z81">
    <w:name w:val="WW8Num2z8"/>
    <w:link w:val="Style_9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4z81">
    <w:name w:val="WW8Num4z8"/>
    <w:link w:val="Style_9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21">
    <w:name w:val="WW8Num16z2"/>
    <w:link w:val="Style_9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5z01">
    <w:name w:val="WW8Num5z0"/>
    <w:link w:val="Style_9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2z31">
    <w:name w:val="WW8Num2z3"/>
    <w:link w:val="Style_9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61">
    <w:name w:val="WW8Num6z6"/>
    <w:link w:val="Style_9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2z81">
    <w:name w:val="WW8Num12z8"/>
    <w:link w:val="Style_9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31">
    <w:name w:val="WW8Num3z3"/>
    <w:link w:val="Style_9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01">
    <w:name w:val="WW8Num3z0"/>
    <w:link w:val="Style_101_ch"/>
    <w:qFormat/>
    <w:pPr>
      <w:widowControl/>
      <w:bidi w:val="0"/>
      <w:jc w:val="left"/>
    </w:pPr>
    <w:rPr>
      <w:rFonts w:ascii="PT Astra Serif" w:hAnsi="PT Astra Serif" w:eastAsia="WenQuanYi Zen Hei Sharp" w:cs="Lohit Devanagari"/>
      <w:b/>
      <w:color w:val="000000"/>
      <w:spacing w:val="0"/>
      <w:kern w:val="0"/>
      <w:sz w:val="26"/>
      <w:szCs w:val="20"/>
      <w:lang w:val="ru-RU" w:eastAsia="zh-CN" w:bidi="hi-IN"/>
    </w:rPr>
  </w:style>
  <w:style w:type="paragraph" w:styleId="WW8Num5z51">
    <w:name w:val="WW8Num5z5"/>
    <w:link w:val="Style_10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9z21">
    <w:name w:val="WW8Num9z2"/>
    <w:link w:val="Style_10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51">
    <w:name w:val="WW8Num1z5"/>
    <w:link w:val="Style_10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51">
    <w:name w:val="WW8Num3z5"/>
    <w:link w:val="Style_10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81">
    <w:name w:val="WW8Num6z8"/>
    <w:link w:val="Style_10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01">
    <w:name w:val="WW8Num1z0"/>
    <w:link w:val="Style_107_ch"/>
    <w:qFormat/>
    <w:pPr>
      <w:widowControl/>
      <w:bidi w:val="0"/>
      <w:jc w:val="left"/>
    </w:pPr>
    <w:rPr>
      <w:rFonts w:ascii="Times New Roman" w:hAnsi="Times New Roman" w:eastAsia="WenQuanYi Zen Hei Sharp" w:cs="Lohit Devanagari"/>
      <w:color w:val="000000"/>
      <w:spacing w:val="0"/>
      <w:kern w:val="0"/>
      <w:sz w:val="26"/>
      <w:szCs w:val="20"/>
      <w:lang w:val="ru-RU" w:eastAsia="zh-CN" w:bidi="hi-IN"/>
    </w:rPr>
  </w:style>
  <w:style w:type="paragraph" w:styleId="21pt1">
    <w:name w:val="Основной текст (2) + Интервал 1 pt"/>
    <w:link w:val="Style_108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30"/>
      <w:kern w:val="0"/>
      <w:sz w:val="24"/>
      <w:szCs w:val="20"/>
      <w:u w:val="single"/>
      <w:lang w:val="ru-RU" w:eastAsia="zh-CN" w:bidi="hi-IN"/>
    </w:rPr>
  </w:style>
  <w:style w:type="paragraph" w:styleId="Internetlink">
    <w:name w:val="Internet link"/>
    <w:link w:val="Style_2_ch"/>
    <w:qFormat/>
    <w:pPr>
      <w:widowControl/>
      <w:bidi w:val="0"/>
      <w:jc w:val="left"/>
    </w:pPr>
    <w:rPr>
      <w:rFonts w:ascii="Times New Roman" w:hAnsi="Times New Roman" w:eastAsia="WenQuanYi Zen Hei Sharp" w:cs="Lohit Devanagari"/>
      <w:color w:val="0000FF"/>
      <w:spacing w:val="0"/>
      <w:kern w:val="0"/>
      <w:sz w:val="24"/>
      <w:szCs w:val="20"/>
      <w:u w:val="single"/>
      <w:lang w:val="ru-RU" w:eastAsia="zh-CN" w:bidi="hi-IN"/>
    </w:rPr>
  </w:style>
  <w:style w:type="paragraph" w:styleId="Footnote1">
    <w:name w:val="Footnote"/>
    <w:link w:val="Style_109_ch"/>
    <w:qFormat/>
    <w:pPr>
      <w:widowControl/>
      <w:bidi w:val="0"/>
      <w:jc w:val="left"/>
    </w:pPr>
    <w:rPr>
      <w:rFonts w:ascii="XO Thames" w:hAnsi="XO Thames" w:eastAsia="WenQuanYi Zen Hei Sharp" w:cs="Lohit Devanagari"/>
      <w:color w:val="000000"/>
      <w:spacing w:val="0"/>
      <w:kern w:val="0"/>
      <w:sz w:val="22"/>
      <w:szCs w:val="20"/>
      <w:lang w:val="ru-RU" w:eastAsia="zh-CN" w:bidi="hi-IN"/>
    </w:rPr>
  </w:style>
  <w:style w:type="paragraph" w:styleId="WW8Num2z51">
    <w:name w:val="WW8Num2z5"/>
    <w:link w:val="Style_11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61">
    <w:name w:val="WW8Num8z6"/>
    <w:link w:val="Style_11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7z51">
    <w:name w:val="WW8Num7z5"/>
    <w:link w:val="Style_11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11">
    <w:name w:val="WW8Num3z1"/>
    <w:link w:val="Style_11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41">
    <w:name w:val="WW8Num8z4"/>
    <w:link w:val="Style_11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16">
    <w:name w:val="TOC 1"/>
    <w:basedOn w:val="Normal"/>
    <w:link w:val="Style_115_ch"/>
    <w:uiPriority w:val="39"/>
    <w:pPr>
      <w:widowControl/>
      <w:bidi w:val="0"/>
      <w:ind w:left="0" w:right="0" w:hanging="0"/>
      <w:jc w:val="left"/>
    </w:pPr>
    <w:rPr>
      <w:rFonts w:ascii="XO Thames" w:hAnsi="XO Thames"/>
      <w:b/>
    </w:rPr>
  </w:style>
  <w:style w:type="paragraph" w:styleId="WW8Num7z71">
    <w:name w:val="WW8Num7z7"/>
    <w:link w:val="Style_11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3z51">
    <w:name w:val="WW8Num13z5"/>
    <w:link w:val="Style_11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3z61">
    <w:name w:val="WW8Num13z6"/>
    <w:link w:val="Style_11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HeaderandFooter1">
    <w:name w:val="Header and Footer"/>
    <w:link w:val="Style_119_ch"/>
    <w:qFormat/>
    <w:pPr>
      <w:widowControl/>
      <w:bidi w:val="0"/>
      <w:spacing w:lineRule="auto" w:line="360"/>
      <w:jc w:val="left"/>
    </w:pPr>
    <w:rPr>
      <w:rFonts w:ascii="XO Thames" w:hAnsi="XO Thames" w:eastAsia="WenQuanYi Zen Hei Sharp" w:cs="Lohit Devanagari"/>
      <w:color w:val="000000"/>
      <w:spacing w:val="0"/>
      <w:kern w:val="0"/>
      <w:sz w:val="20"/>
      <w:szCs w:val="20"/>
      <w:lang w:val="ru-RU" w:eastAsia="zh-CN" w:bidi="hi-IN"/>
    </w:rPr>
  </w:style>
  <w:style w:type="paragraph" w:styleId="WW8Num7z01">
    <w:name w:val="WW8Num7z0"/>
    <w:link w:val="Style_12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Style24">
    <w:name w:val="Содержимое таблицы"/>
    <w:basedOn w:val="Normal"/>
    <w:link w:val="Style_121_ch"/>
    <w:qFormat/>
    <w:pPr/>
    <w:rPr/>
  </w:style>
  <w:style w:type="paragraph" w:styleId="ConsPlusNormal1">
    <w:name w:val="ConsPlusNormal"/>
    <w:link w:val="Style_122_ch"/>
    <w:qFormat/>
    <w:pPr>
      <w:widowControl w:val="false"/>
      <w:bidi w:val="0"/>
      <w:jc w:val="left"/>
    </w:pPr>
    <w:rPr>
      <w:rFonts w:ascii="Arial" w:hAnsi="Arial" w:eastAsia="WenQuanYi Zen Hei Sharp" w:cs="Lohit Devanagari"/>
      <w:color w:val="000000"/>
      <w:spacing w:val="0"/>
      <w:kern w:val="0"/>
      <w:sz w:val="20"/>
      <w:szCs w:val="20"/>
      <w:lang w:val="ru-RU" w:eastAsia="zh-CN" w:bidi="hi-IN"/>
    </w:rPr>
  </w:style>
  <w:style w:type="paragraph" w:styleId="WW8Num7z31">
    <w:name w:val="WW8Num7z3"/>
    <w:link w:val="Style_12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Style25">
    <w:name w:val="Текст выноски Знак"/>
    <w:link w:val="Style_124_ch"/>
    <w:qFormat/>
    <w:pPr>
      <w:widowControl/>
      <w:bidi w:val="0"/>
      <w:jc w:val="left"/>
    </w:pPr>
    <w:rPr>
      <w:rFonts w:ascii="Tahoma" w:hAnsi="Tahoma" w:eastAsia="WenQuanYi Zen Hei Sharp" w:cs="Lohit Devanagari"/>
      <w:color w:val="000000"/>
      <w:spacing w:val="0"/>
      <w:kern w:val="0"/>
      <w:sz w:val="16"/>
      <w:szCs w:val="20"/>
      <w:lang w:val="ru-RU" w:eastAsia="zh-CN" w:bidi="hi-IN"/>
    </w:rPr>
  </w:style>
  <w:style w:type="paragraph" w:styleId="WW8Num10z41">
    <w:name w:val="WW8Num10z4"/>
    <w:link w:val="Style_12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2z01">
    <w:name w:val="WW8Num2z0"/>
    <w:link w:val="Style_12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01">
    <w:name w:val="WW8Num6z0"/>
    <w:link w:val="Style_12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9">
    <w:name w:val="TOC 9"/>
    <w:basedOn w:val="Normal"/>
    <w:link w:val="Style_128_ch"/>
    <w:uiPriority w:val="39"/>
    <w:pPr>
      <w:widowControl/>
      <w:bidi w:val="0"/>
      <w:ind w:left="1600" w:right="0" w:hanging="0"/>
      <w:jc w:val="left"/>
    </w:pPr>
    <w:rPr/>
  </w:style>
  <w:style w:type="paragraph" w:styleId="WW8Num11z21">
    <w:name w:val="WW8Num11z2"/>
    <w:link w:val="Style_12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4z81">
    <w:name w:val="WW8Num14z8"/>
    <w:link w:val="Style_13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8z71">
    <w:name w:val="WW8Num8z7"/>
    <w:link w:val="Style_13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ConsNormal1">
    <w:name w:val="ConsNormal"/>
    <w:link w:val="Style_132_ch"/>
    <w:qFormat/>
    <w:pPr>
      <w:widowControl w:val="false"/>
      <w:bidi w:val="0"/>
      <w:ind w:left="0" w:right="19772" w:firstLine="720"/>
      <w:jc w:val="left"/>
    </w:pPr>
    <w:rPr>
      <w:rFonts w:ascii="Arial" w:hAnsi="Arial" w:eastAsia="WenQuanYi Zen Hei Sharp" w:cs="Lohit Devanagari"/>
      <w:color w:val="000000"/>
      <w:spacing w:val="0"/>
      <w:kern w:val="0"/>
      <w:sz w:val="18"/>
      <w:szCs w:val="20"/>
      <w:lang w:val="ru-RU" w:eastAsia="zh-CN" w:bidi="hi-IN"/>
    </w:rPr>
  </w:style>
  <w:style w:type="paragraph" w:styleId="WW8Num2z21">
    <w:name w:val="WW8Num2z2"/>
    <w:link w:val="Style_13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4z41">
    <w:name w:val="WW8Num14z4"/>
    <w:link w:val="Style_13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8">
    <w:name w:val="TOC 8"/>
    <w:basedOn w:val="Normal"/>
    <w:link w:val="Style_135_ch"/>
    <w:uiPriority w:val="39"/>
    <w:pPr>
      <w:widowControl/>
      <w:bidi w:val="0"/>
      <w:ind w:left="1400" w:right="0" w:hanging="0"/>
      <w:jc w:val="left"/>
    </w:pPr>
    <w:rPr/>
  </w:style>
  <w:style w:type="paragraph" w:styleId="Style26">
    <w:name w:val="Основной шрифт абзаца"/>
    <w:link w:val="Style_13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1z71">
    <w:name w:val="WW8Num11z7"/>
    <w:link w:val="Style_13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1z61">
    <w:name w:val="WW8Num11z6"/>
    <w:link w:val="Style_13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5z31">
    <w:name w:val="WW8Num5z3"/>
    <w:link w:val="Style_139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Caption1">
    <w:name w:val="caption"/>
    <w:basedOn w:val="Normal"/>
    <w:link w:val="Style_140_ch"/>
    <w:qFormat/>
    <w:pPr>
      <w:spacing w:before="120" w:after="120"/>
    </w:pPr>
    <w:rPr>
      <w:i/>
      <w:sz w:val="24"/>
    </w:rPr>
  </w:style>
  <w:style w:type="paragraph" w:styleId="WW8Num11z51">
    <w:name w:val="WW8Num11z5"/>
    <w:link w:val="Style_14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9z11">
    <w:name w:val="WW8Num9z1"/>
    <w:link w:val="Style_14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5z81">
    <w:name w:val="WW8Num15z8"/>
    <w:link w:val="Style_14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0z61">
    <w:name w:val="WW8Num10z6"/>
    <w:link w:val="Style_14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9z71">
    <w:name w:val="WW8Num9z7"/>
    <w:link w:val="Style_14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2z61">
    <w:name w:val="WW8Num2z6"/>
    <w:link w:val="Style_14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6z41">
    <w:name w:val="WW8Num6z4"/>
    <w:link w:val="Style_14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41">
    <w:name w:val="WW8Num16z4"/>
    <w:link w:val="Style_14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17">
    <w:name w:val="Основной шрифт абзаца1"/>
    <w:link w:val="Style_15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81">
    <w:name w:val="WW8Num3z8"/>
    <w:link w:val="Style_15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4z11">
    <w:name w:val="WW8Num4z1"/>
    <w:link w:val="Style_15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51">
    <w:name w:val="TOC 5"/>
    <w:basedOn w:val="Normal"/>
    <w:link w:val="Style_153_ch"/>
    <w:uiPriority w:val="39"/>
    <w:pPr>
      <w:widowControl/>
      <w:bidi w:val="0"/>
      <w:ind w:left="800" w:right="0" w:hanging="0"/>
      <w:jc w:val="left"/>
    </w:pPr>
    <w:rPr/>
  </w:style>
  <w:style w:type="paragraph" w:styleId="WW8Num10z51">
    <w:name w:val="WW8Num10z5"/>
    <w:link w:val="Style_15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4z61">
    <w:name w:val="WW8Num4z6"/>
    <w:link w:val="Style_15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3z21">
    <w:name w:val="WW8Num3z2"/>
    <w:link w:val="Style_15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3z31">
    <w:name w:val="WW8Num13z3"/>
    <w:link w:val="Style_15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3z71">
    <w:name w:val="WW8Num13z7"/>
    <w:link w:val="Style_158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Style27">
    <w:name w:val="Название объекта"/>
    <w:basedOn w:val="Normal"/>
    <w:link w:val="Style_159_ch"/>
    <w:qFormat/>
    <w:pPr>
      <w:spacing w:before="120" w:after="120"/>
    </w:pPr>
    <w:rPr>
      <w:i/>
      <w:sz w:val="24"/>
    </w:rPr>
  </w:style>
  <w:style w:type="paragraph" w:styleId="WW8Num11z11">
    <w:name w:val="WW8Num11z1"/>
    <w:link w:val="Style_16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3z81">
    <w:name w:val="WW8Num13z8"/>
    <w:link w:val="Style_16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4z31">
    <w:name w:val="WW8Num14z3"/>
    <w:link w:val="Style_16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1z41">
    <w:name w:val="WW8Num11z4"/>
    <w:link w:val="Style_163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2z31">
    <w:name w:val="WW8Num12z3"/>
    <w:link w:val="Style_16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4z41">
    <w:name w:val="WW8Num4z4"/>
    <w:link w:val="Style_165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2z71">
    <w:name w:val="WW8Num12z7"/>
    <w:link w:val="Style_16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2z11">
    <w:name w:val="WW8Num12z1"/>
    <w:link w:val="Style_16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6z01">
    <w:name w:val="WW8Num16z0"/>
    <w:link w:val="Style_168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none"/>
      <w:lang w:val="ru-RU" w:eastAsia="zh-CN" w:bidi="hi-IN"/>
    </w:rPr>
  </w:style>
  <w:style w:type="paragraph" w:styleId="Style28">
    <w:name w:val="Subtitle"/>
    <w:basedOn w:val="Normal"/>
    <w:link w:val="Style_169_ch"/>
    <w:uiPriority w:val="11"/>
    <w:qFormat/>
    <w:pPr>
      <w:widowControl/>
      <w:bidi w:val="0"/>
      <w:jc w:val="left"/>
    </w:pPr>
    <w:rPr>
      <w:rFonts w:ascii="XO Thames" w:hAnsi="XO Thames"/>
      <w:i/>
      <w:color w:val="616161"/>
      <w:sz w:val="24"/>
    </w:rPr>
  </w:style>
  <w:style w:type="paragraph" w:styleId="WW8Num14z71">
    <w:name w:val="WW8Num14z7"/>
    <w:link w:val="Style_17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4z01">
    <w:name w:val="WW8Num4z0"/>
    <w:link w:val="Style_171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Style29">
    <w:name w:val="Заголовок таблицы"/>
    <w:basedOn w:val="Style24"/>
    <w:link w:val="Style_172_ch"/>
    <w:qFormat/>
    <w:pPr>
      <w:jc w:val="center"/>
    </w:pPr>
    <w:rPr>
      <w:b/>
    </w:rPr>
  </w:style>
  <w:style w:type="paragraph" w:styleId="Toc101">
    <w:name w:val="toc 10"/>
    <w:link w:val="Style_173_ch"/>
    <w:uiPriority w:val="39"/>
    <w:qFormat/>
    <w:pPr>
      <w:widowControl/>
      <w:bidi w:val="0"/>
      <w:ind w:left="1800" w:hanging="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5z41">
    <w:name w:val="WW8Num5z4"/>
    <w:link w:val="Style_17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5z01">
    <w:name w:val="WW8Num15z0"/>
    <w:link w:val="Style_175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none"/>
      <w:lang w:val="ru-RU" w:eastAsia="zh-CN" w:bidi="hi-IN"/>
    </w:rPr>
  </w:style>
  <w:style w:type="paragraph" w:styleId="WW8Num15z41">
    <w:name w:val="WW8Num15z4"/>
    <w:link w:val="Style_17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z41">
    <w:name w:val="WW8Num1z4"/>
    <w:link w:val="Style_177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Style30">
    <w:name w:val="Title"/>
    <w:basedOn w:val="Normal"/>
    <w:link w:val="Style_178_ch"/>
    <w:uiPriority w:val="10"/>
    <w:qFormat/>
    <w:pPr>
      <w:widowControl/>
      <w:bidi w:val="0"/>
      <w:jc w:val="left"/>
    </w:pPr>
    <w:rPr>
      <w:rFonts w:ascii="XO Thames" w:hAnsi="XO Thames"/>
      <w:b/>
      <w:sz w:val="52"/>
    </w:rPr>
  </w:style>
  <w:style w:type="paragraph" w:styleId="WW8Num13z41">
    <w:name w:val="WW8Num13z4"/>
    <w:link w:val="Style_180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24">
    <w:name w:val="Основной текст (2)"/>
    <w:link w:val="Style_181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single"/>
      <w:lang w:val="ru-RU" w:eastAsia="zh-CN" w:bidi="hi-IN"/>
    </w:rPr>
  </w:style>
  <w:style w:type="paragraph" w:styleId="DefaultParagraphFont1">
    <w:name w:val="Default Paragraph Font"/>
    <w:link w:val="Style_182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WW8Num12z51">
    <w:name w:val="WW8Num12z5"/>
    <w:link w:val="Style_184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paragraph" w:styleId="25">
    <w:name w:val="Основной текст (2)_"/>
    <w:link w:val="Style_185_ch"/>
    <w:qFormat/>
    <w:pPr>
      <w:widowControl/>
      <w:bidi w:val="0"/>
      <w:jc w:val="left"/>
    </w:pPr>
    <w:rPr>
      <w:rFonts w:ascii="Times New Roman" w:hAnsi="Times New Roman" w:eastAsia="WenQuanYi Zen Hei Sharp" w:cs="Lohit Devanagari"/>
      <w:b w:val="false"/>
      <w:i w:val="false"/>
      <w:caps w:val="false"/>
      <w:smallCaps w:val="false"/>
      <w:strike w:val="false"/>
      <w:dstrike w:val="false"/>
      <w:color w:val="000000"/>
      <w:spacing w:val="0"/>
      <w:kern w:val="0"/>
      <w:sz w:val="24"/>
      <w:szCs w:val="20"/>
      <w:u w:val="none"/>
      <w:lang w:val="ru-RU" w:eastAsia="zh-CN" w:bidi="hi-IN"/>
    </w:rPr>
  </w:style>
  <w:style w:type="paragraph" w:styleId="WW8Num15z31">
    <w:name w:val="WW8Num15z3"/>
    <w:link w:val="Style_186_ch"/>
    <w:qFormat/>
    <w:pPr>
      <w:widowControl/>
      <w:bidi w:val="0"/>
      <w:jc w:val="left"/>
    </w:pPr>
    <w:rPr>
      <w:rFonts w:ascii="Times New Roman" w:hAnsi="Times New Roman" w:eastAsia="WenQuanYi Zen Hei Sharp" w:cs="Lohit Devanagari"/>
      <w:color w:val="000000"/>
      <w:spacing w:val="0"/>
      <w:kern w:val="0"/>
      <w:sz w:val="24"/>
      <w:szCs w:val="20"/>
      <w:lang w:val="ru-RU" w:eastAsia="zh-CN" w:bidi="hi-IN"/>
    </w:rPr>
  </w:style>
  <w:style w:type="table" w:default="1" w:styleId="Style_1">
    <w:name w:val="Normal Table"/>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orgi.gov.ru/"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x14="http://schemas.microsoft.com/office/spreadsheetml/2009/9/main" xmlns:xdr="http://schemas.openxmlformats.org/drawingml/2006/spreadsheetDrawing"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name="Office">
      <a:fillStyleLst>
        <a:solidFill>
          <a:schemeClr val="phClr"/>
        </a:solidFill>
        <a:gradFill>
          <a:gsLst>
            <a:gs pos="0%">
              <a:schemeClr val="phClr">
                <a:tint val="50%"/>
                <a:satMod val="300%"/>
              </a:schemeClr>
            </a:gs>
            <a:gs pos="35%">
              <a:schemeClr val="phClr">
                <a:tint val="37%"/>
                <a:satMod val="300%"/>
              </a:schemeClr>
            </a:gs>
            <a:gs pos="100%">
              <a:schemeClr val="phClr">
                <a:tint val="15%"/>
                <a:satMod val="350%"/>
              </a:schemeClr>
            </a:gs>
          </a:gsLst>
        </a:gradFill>
        <a:gradFill>
          <a:gsLst>
            <a:gs pos="0%">
              <a:schemeClr val="phClr">
                <a:shade val="51%"/>
                <a:satMod val="130%"/>
              </a:schemeClr>
            </a:gs>
            <a:gs pos="80%">
              <a:schemeClr val="phClr">
                <a:shade val="93%"/>
                <a:satMod val="130%"/>
              </a:schemeClr>
            </a:gs>
            <a:gs pos="100%">
              <a:schemeClr val="phClr">
                <a:shade val="94%"/>
                <a:satMod val="135%"/>
              </a:schemeClr>
            </a:gs>
          </a:gsLst>
        </a:gradFill>
      </a:fillStyleLst>
      <a:lnStyleLst>
        <a:ln>
          <a:solidFill>
            <a:schemeClr val="phClr">
              <a:shade val="95%"/>
              <a:satMod val="105%"/>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
                <a:satMod val="350%"/>
              </a:schemeClr>
            </a:gs>
            <a:gs pos="40%">
              <a:schemeClr val="phClr">
                <a:tint val="45%"/>
                <a:shade val="99%"/>
                <a:satMod val="350%"/>
              </a:schemeClr>
            </a:gs>
            <a:gs pos="100%">
              <a:schemeClr val="phClr">
                <a:shade val="20%"/>
                <a:satMod val="255%"/>
              </a:schemeClr>
            </a:gs>
          </a:gsLst>
        </a:gradFill>
        <a:gradFill>
          <a:gsLst>
            <a:gs pos="0%">
              <a:schemeClr val="phClr">
                <a:tint val="80%"/>
                <a:satMod val="300%"/>
              </a:schemeClr>
            </a:gs>
            <a:gs pos="100%">
              <a:schemeClr val="phClr">
                <a:shade val="30%"/>
                <a:satMod val="2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LibreOffice/6.0.6.1$Linux_X86_64 LibreOffice_project/00$Build-1</Application>
  <Pages>6</Pages>
  <Words>5616</Words>
  <Characters>40677</Characters>
  <CharactersWithSpaces>46726</CharactersWithSpaces>
  <Paragraphs>243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2020-02-19T14:26:56Z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ScaleCrop">
    <vt:bool>0</vt:bool>
  </property>
</Properties>
</file>